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DFCC" w14:textId="5166560F" w:rsidR="00452E01" w:rsidRPr="00B81751" w:rsidRDefault="00A61BBB" w:rsidP="00436420">
      <w:pPr>
        <w:pStyle w:val="Heading2"/>
        <w:shd w:val="clear" w:color="auto" w:fill="D9D9D9"/>
        <w:rPr>
          <w:rFonts w:ascii="Verdana" w:hAnsi="Verdana"/>
          <w:smallCaps/>
          <w:sz w:val="24"/>
        </w:rPr>
      </w:pPr>
      <w:r>
        <w:rPr>
          <w:rFonts w:ascii="Verdana" w:hAnsi="Verdana"/>
          <w:smallCaps/>
          <w:sz w:val="24"/>
        </w:rPr>
        <w:t>Expert Advisory Committee</w:t>
      </w:r>
    </w:p>
    <w:p w14:paraId="5FE1401E" w14:textId="77777777" w:rsidR="00452E01" w:rsidRPr="00B81751" w:rsidRDefault="00452E01" w:rsidP="00E7243F">
      <w:pPr>
        <w:pStyle w:val="Heading2"/>
        <w:rPr>
          <w:rFonts w:ascii="Verdana" w:hAnsi="Verdana"/>
          <w:sz w:val="24"/>
        </w:rPr>
      </w:pPr>
    </w:p>
    <w:p w14:paraId="5F65A2C7" w14:textId="77777777" w:rsidR="00A92D1C" w:rsidRPr="00A92D1C" w:rsidRDefault="00A92D1C" w:rsidP="00A92D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853"/>
      </w:tblGrid>
      <w:tr w:rsidR="00E50FC8" w:rsidRPr="003D61A5" w14:paraId="0C35DA77" w14:textId="77777777" w:rsidTr="00E70A64">
        <w:tc>
          <w:tcPr>
            <w:tcW w:w="2217" w:type="dxa"/>
            <w:shd w:val="clear" w:color="auto" w:fill="auto"/>
          </w:tcPr>
          <w:p w14:paraId="59228B00" w14:textId="139E0238" w:rsidR="00E50FC8" w:rsidRPr="00E50FC8" w:rsidRDefault="00E50FC8" w:rsidP="00E50FC8">
            <w:pPr>
              <w:rPr>
                <w:rFonts w:ascii="Verdana" w:hAnsi="Verdana"/>
                <w:smallCaps/>
              </w:rPr>
            </w:pPr>
            <w:bookmarkStart w:id="0" w:name="Purpose"/>
            <w:r w:rsidRPr="00E50FC8">
              <w:rPr>
                <w:rFonts w:ascii="Verdana" w:hAnsi="Verdana"/>
                <w:smallCaps/>
              </w:rPr>
              <w:t>Purpose</w:t>
            </w:r>
            <w:bookmarkEnd w:id="0"/>
          </w:p>
        </w:tc>
        <w:tc>
          <w:tcPr>
            <w:tcW w:w="7853" w:type="dxa"/>
            <w:shd w:val="clear" w:color="auto" w:fill="auto"/>
          </w:tcPr>
          <w:p w14:paraId="1D3B6F9F" w14:textId="14247B90" w:rsidR="00E50FC8" w:rsidRPr="00E50FC8" w:rsidRDefault="00A61BBB" w:rsidP="00AF2B51">
            <w:pPr>
              <w:spacing w:before="120" w:after="120"/>
              <w:rPr>
                <w:rFonts w:ascii="Verdana" w:hAnsi="Verdana"/>
                <w:color w:val="595959" w:themeColor="text1" w:themeTint="A6"/>
                <w:szCs w:val="20"/>
              </w:rPr>
            </w:pPr>
            <w:r>
              <w:rPr>
                <w:rFonts w:ascii="Verdana" w:hAnsi="Verdana"/>
                <w:color w:val="595959" w:themeColor="text1" w:themeTint="A6"/>
                <w:szCs w:val="20"/>
              </w:rPr>
              <w:t xml:space="preserve">To design, guide, support and evaluate Interior Health’s Sexual Assault Forensic Examination (SAFE) program ensuring program is </w:t>
            </w:r>
            <w:r w:rsidR="00AF2B51">
              <w:rPr>
                <w:rFonts w:ascii="Verdana" w:hAnsi="Verdana"/>
                <w:color w:val="595959" w:themeColor="text1" w:themeTint="A6"/>
                <w:szCs w:val="20"/>
              </w:rPr>
              <w:t>evidence informed</w:t>
            </w:r>
            <w:r>
              <w:rPr>
                <w:rFonts w:ascii="Verdana" w:hAnsi="Verdana"/>
                <w:color w:val="595959" w:themeColor="text1" w:themeTint="A6"/>
                <w:szCs w:val="20"/>
              </w:rPr>
              <w:t xml:space="preserve"> and aligns with the </w:t>
            </w:r>
            <w:r w:rsidR="00AF2B51">
              <w:rPr>
                <w:rFonts w:ascii="Verdana" w:hAnsi="Verdana"/>
                <w:color w:val="595959" w:themeColor="text1" w:themeTint="A6"/>
                <w:szCs w:val="20"/>
              </w:rPr>
              <w:t>p</w:t>
            </w:r>
            <w:r>
              <w:rPr>
                <w:rFonts w:ascii="Verdana" w:hAnsi="Verdana"/>
                <w:color w:val="595959" w:themeColor="text1" w:themeTint="A6"/>
                <w:szCs w:val="20"/>
              </w:rPr>
              <w:t xml:space="preserve">rovincial Ministry of Health (MOH) </w:t>
            </w:r>
            <w:r w:rsidR="00AF2B51">
              <w:rPr>
                <w:rFonts w:ascii="Verdana" w:hAnsi="Verdana"/>
                <w:i/>
                <w:color w:val="595959" w:themeColor="text1" w:themeTint="A6"/>
                <w:szCs w:val="20"/>
              </w:rPr>
              <w:t xml:space="preserve">Access to </w:t>
            </w:r>
            <w:r w:rsidRPr="00A61BBB">
              <w:rPr>
                <w:rFonts w:ascii="Verdana" w:hAnsi="Verdana"/>
                <w:i/>
                <w:color w:val="595959" w:themeColor="text1" w:themeTint="A6"/>
                <w:szCs w:val="20"/>
              </w:rPr>
              <w:t>(SAFE) Service in Hospital Emergency Departments</w:t>
            </w:r>
            <w:r>
              <w:rPr>
                <w:rFonts w:ascii="Verdana" w:hAnsi="Verdana"/>
                <w:color w:val="595959" w:themeColor="text1" w:themeTint="A6"/>
                <w:szCs w:val="20"/>
              </w:rPr>
              <w:t xml:space="preserve"> policy</w:t>
            </w:r>
            <w:r w:rsidR="00834C7C">
              <w:rPr>
                <w:rFonts w:ascii="Verdana" w:hAnsi="Verdana"/>
                <w:color w:val="595959" w:themeColor="text1" w:themeTint="A6"/>
                <w:szCs w:val="20"/>
              </w:rPr>
              <w:t xml:space="preserve"> and guideline</w:t>
            </w:r>
            <w:r>
              <w:rPr>
                <w:rFonts w:ascii="Verdana" w:hAnsi="Verdana"/>
                <w:color w:val="595959" w:themeColor="text1" w:themeTint="A6"/>
                <w:szCs w:val="20"/>
              </w:rPr>
              <w:t xml:space="preserve">.  </w:t>
            </w:r>
          </w:p>
        </w:tc>
      </w:tr>
      <w:tr w:rsidR="00E50FC8" w:rsidRPr="003D61A5" w14:paraId="2EF88825" w14:textId="77777777" w:rsidTr="00E70A64">
        <w:tc>
          <w:tcPr>
            <w:tcW w:w="2217" w:type="dxa"/>
            <w:shd w:val="clear" w:color="auto" w:fill="auto"/>
          </w:tcPr>
          <w:p w14:paraId="794A5EA1" w14:textId="77777777" w:rsidR="00AF2B51" w:rsidRDefault="00E50FC8" w:rsidP="00E50FC8">
            <w:pPr>
              <w:rPr>
                <w:rFonts w:ascii="Verdana" w:hAnsi="Verdana"/>
                <w:smallCaps/>
              </w:rPr>
            </w:pPr>
            <w:bookmarkStart w:id="1" w:name="Definition"/>
            <w:r w:rsidRPr="00E50FC8">
              <w:rPr>
                <w:rFonts w:ascii="Verdana" w:hAnsi="Verdana"/>
                <w:smallCaps/>
              </w:rPr>
              <w:t>Definitions</w:t>
            </w:r>
            <w:bookmarkEnd w:id="1"/>
            <w:r w:rsidR="00AF2B51">
              <w:rPr>
                <w:rFonts w:ascii="Verdana" w:hAnsi="Verdana"/>
                <w:smallCaps/>
              </w:rPr>
              <w:t>/</w:t>
            </w:r>
          </w:p>
          <w:p w14:paraId="18F0DFE0" w14:textId="4FF4B180" w:rsidR="00E50FC8" w:rsidRPr="00E50FC8" w:rsidRDefault="00AF2B51" w:rsidP="00E50FC8">
            <w:pPr>
              <w:rPr>
                <w:rFonts w:ascii="Verdana" w:hAnsi="Verdana"/>
                <w:smallCaps/>
              </w:rPr>
            </w:pPr>
            <w:r>
              <w:rPr>
                <w:rFonts w:ascii="Verdana" w:hAnsi="Verdana"/>
                <w:smallCaps/>
              </w:rPr>
              <w:t>Acronyms</w:t>
            </w:r>
          </w:p>
          <w:p w14:paraId="63277424" w14:textId="213C14A6" w:rsidR="00E50FC8" w:rsidRPr="00E50FC8" w:rsidRDefault="00E50FC8" w:rsidP="00E50FC8">
            <w:pPr>
              <w:rPr>
                <w:rFonts w:ascii="Verdana" w:hAnsi="Verdana"/>
                <w:smallCaps/>
              </w:rPr>
            </w:pPr>
          </w:p>
        </w:tc>
        <w:tc>
          <w:tcPr>
            <w:tcW w:w="7853" w:type="dxa"/>
            <w:shd w:val="clear" w:color="auto" w:fill="auto"/>
          </w:tcPr>
          <w:p w14:paraId="4941AA8D" w14:textId="77777777" w:rsidR="00E50FC8" w:rsidRDefault="003A7C0F" w:rsidP="00E50FC8">
            <w:pPr>
              <w:spacing w:before="120" w:after="120"/>
              <w:rPr>
                <w:rFonts w:ascii="Verdana" w:hAnsi="Verdana"/>
                <w:color w:val="595959" w:themeColor="text1" w:themeTint="A6"/>
                <w:szCs w:val="20"/>
              </w:rPr>
            </w:pPr>
            <w:r>
              <w:rPr>
                <w:rFonts w:ascii="Verdana" w:hAnsi="Verdana"/>
                <w:color w:val="595959" w:themeColor="text1" w:themeTint="A6"/>
                <w:szCs w:val="20"/>
              </w:rPr>
              <w:t xml:space="preserve">SAFE – Sexual Assault Forensic Examination </w:t>
            </w:r>
          </w:p>
          <w:p w14:paraId="50DB4277" w14:textId="77777777" w:rsidR="003A7C0F" w:rsidRDefault="003A7C0F" w:rsidP="00E50FC8">
            <w:pPr>
              <w:spacing w:before="120" w:after="120"/>
              <w:rPr>
                <w:rFonts w:ascii="Verdana" w:hAnsi="Verdana"/>
                <w:color w:val="595959" w:themeColor="text1" w:themeTint="A6"/>
                <w:szCs w:val="20"/>
              </w:rPr>
            </w:pPr>
            <w:r>
              <w:rPr>
                <w:rFonts w:ascii="Verdana" w:hAnsi="Verdana"/>
                <w:color w:val="595959" w:themeColor="text1" w:themeTint="A6"/>
                <w:szCs w:val="20"/>
              </w:rPr>
              <w:t>ESN – Emergency Services Network</w:t>
            </w:r>
          </w:p>
          <w:p w14:paraId="3F690949" w14:textId="77777777" w:rsidR="003A7C0F" w:rsidRDefault="003A7C0F" w:rsidP="00E50FC8">
            <w:pPr>
              <w:spacing w:before="120" w:after="120"/>
              <w:rPr>
                <w:rFonts w:ascii="Verdana" w:hAnsi="Verdana"/>
                <w:color w:val="595959" w:themeColor="text1" w:themeTint="A6"/>
                <w:szCs w:val="20"/>
              </w:rPr>
            </w:pPr>
            <w:r>
              <w:rPr>
                <w:rFonts w:ascii="Verdana" w:hAnsi="Verdana"/>
                <w:color w:val="595959" w:themeColor="text1" w:themeTint="A6"/>
                <w:szCs w:val="20"/>
              </w:rPr>
              <w:t>MNCY – Maternal, Newborn, Child, Youth Network</w:t>
            </w:r>
          </w:p>
          <w:p w14:paraId="4C78A91E" w14:textId="77777777" w:rsidR="00E35397" w:rsidRDefault="00E35397" w:rsidP="00E50FC8">
            <w:pPr>
              <w:spacing w:before="120" w:after="120"/>
              <w:rPr>
                <w:rFonts w:ascii="Verdana" w:hAnsi="Verdana"/>
                <w:color w:val="595959" w:themeColor="text1" w:themeTint="A6"/>
                <w:szCs w:val="20"/>
              </w:rPr>
            </w:pPr>
            <w:r>
              <w:rPr>
                <w:rFonts w:ascii="Verdana" w:hAnsi="Verdana"/>
                <w:color w:val="595959" w:themeColor="text1" w:themeTint="A6"/>
                <w:szCs w:val="20"/>
              </w:rPr>
              <w:t>IH – Interior Health</w:t>
            </w:r>
          </w:p>
          <w:p w14:paraId="36B03C8A" w14:textId="77777777" w:rsidR="00AF2B51" w:rsidRDefault="00AF2B51" w:rsidP="00E50FC8">
            <w:pPr>
              <w:spacing w:before="120" w:after="120"/>
              <w:rPr>
                <w:rFonts w:ascii="Verdana" w:hAnsi="Verdana"/>
                <w:color w:val="595959" w:themeColor="text1" w:themeTint="A6"/>
                <w:szCs w:val="20"/>
              </w:rPr>
            </w:pPr>
            <w:r>
              <w:rPr>
                <w:rFonts w:ascii="Verdana" w:hAnsi="Verdana"/>
                <w:color w:val="595959" w:themeColor="text1" w:themeTint="A6"/>
                <w:szCs w:val="20"/>
              </w:rPr>
              <w:t>MOH – BC Ministry of Health</w:t>
            </w:r>
          </w:p>
          <w:p w14:paraId="76EEC30D" w14:textId="77777777" w:rsidR="00F30B62" w:rsidRDefault="00F30B62" w:rsidP="00E50FC8">
            <w:pPr>
              <w:spacing w:before="120" w:after="120"/>
              <w:rPr>
                <w:rFonts w:ascii="Verdana" w:hAnsi="Verdana"/>
                <w:color w:val="595959" w:themeColor="text1" w:themeTint="A6"/>
                <w:szCs w:val="20"/>
              </w:rPr>
            </w:pPr>
            <w:r>
              <w:rPr>
                <w:rFonts w:ascii="Verdana" w:hAnsi="Verdana"/>
                <w:color w:val="595959" w:themeColor="text1" w:themeTint="A6"/>
                <w:szCs w:val="20"/>
              </w:rPr>
              <w:t>VP – Vice President</w:t>
            </w:r>
          </w:p>
          <w:p w14:paraId="7B9F7280" w14:textId="5B9B3425" w:rsidR="003B44C1" w:rsidRPr="00E50FC8" w:rsidRDefault="003B44C1" w:rsidP="00E50FC8">
            <w:pPr>
              <w:spacing w:before="120" w:after="120"/>
              <w:rPr>
                <w:rFonts w:ascii="Verdana" w:hAnsi="Verdana"/>
                <w:color w:val="595959" w:themeColor="text1" w:themeTint="A6"/>
                <w:szCs w:val="20"/>
              </w:rPr>
            </w:pPr>
            <w:r>
              <w:rPr>
                <w:rFonts w:ascii="Verdana" w:hAnsi="Verdana"/>
                <w:color w:val="595959" w:themeColor="text1" w:themeTint="A6"/>
                <w:szCs w:val="20"/>
              </w:rPr>
              <w:t>ED – Emergency Department</w:t>
            </w:r>
          </w:p>
        </w:tc>
      </w:tr>
      <w:tr w:rsidR="00E50FC8" w:rsidRPr="003D61A5" w14:paraId="485C6E16" w14:textId="77777777" w:rsidTr="00E70A64">
        <w:tc>
          <w:tcPr>
            <w:tcW w:w="2217" w:type="dxa"/>
            <w:shd w:val="clear" w:color="auto" w:fill="auto"/>
          </w:tcPr>
          <w:p w14:paraId="0F8BBFCC" w14:textId="197F887C" w:rsidR="00E50FC8" w:rsidRPr="00E50FC8" w:rsidRDefault="00E50FC8" w:rsidP="00E50FC8">
            <w:pPr>
              <w:rPr>
                <w:rFonts w:ascii="Verdana" w:hAnsi="Verdana"/>
                <w:smallCaps/>
              </w:rPr>
            </w:pPr>
            <w:r w:rsidRPr="00E50FC8">
              <w:rPr>
                <w:rFonts w:ascii="Verdana" w:hAnsi="Verdana"/>
                <w:smallCaps/>
              </w:rPr>
              <w:t>Sponsor</w:t>
            </w:r>
          </w:p>
        </w:tc>
        <w:tc>
          <w:tcPr>
            <w:tcW w:w="7853" w:type="dxa"/>
            <w:shd w:val="clear" w:color="auto" w:fill="auto"/>
          </w:tcPr>
          <w:p w14:paraId="7F49AC1A" w14:textId="16D7A098" w:rsidR="00E50FC8" w:rsidRPr="00E50FC8" w:rsidRDefault="00E35397" w:rsidP="00E50FC8">
            <w:pPr>
              <w:spacing w:before="120" w:after="120"/>
              <w:rPr>
                <w:rFonts w:ascii="Verdana" w:hAnsi="Verdana"/>
                <w:color w:val="595959" w:themeColor="text1" w:themeTint="A6"/>
                <w:szCs w:val="20"/>
              </w:rPr>
            </w:pPr>
            <w:r>
              <w:rPr>
                <w:rFonts w:ascii="Verdana" w:hAnsi="Verdana"/>
                <w:color w:val="595959" w:themeColor="text1" w:themeTint="A6"/>
                <w:szCs w:val="20"/>
              </w:rPr>
              <w:t xml:space="preserve">Diane Shendruk, VP Clinical Operations North </w:t>
            </w:r>
            <w:r w:rsidR="003A7C0F">
              <w:rPr>
                <w:rFonts w:ascii="Verdana" w:hAnsi="Verdana"/>
                <w:color w:val="595959" w:themeColor="text1" w:themeTint="A6"/>
                <w:szCs w:val="20"/>
              </w:rPr>
              <w:t xml:space="preserve"> </w:t>
            </w:r>
          </w:p>
        </w:tc>
      </w:tr>
      <w:tr w:rsidR="00E50FC8" w:rsidRPr="003D61A5" w14:paraId="4661C8C1" w14:textId="77777777" w:rsidTr="00E70A64">
        <w:tc>
          <w:tcPr>
            <w:tcW w:w="2217" w:type="dxa"/>
            <w:shd w:val="clear" w:color="auto" w:fill="auto"/>
          </w:tcPr>
          <w:p w14:paraId="1CF81996" w14:textId="359FFBA9" w:rsidR="00E50FC8" w:rsidRPr="00E50FC8" w:rsidRDefault="00E50FC8" w:rsidP="00E50FC8">
            <w:pPr>
              <w:rPr>
                <w:rFonts w:ascii="Verdana" w:hAnsi="Verdana"/>
                <w:smallCaps/>
              </w:rPr>
            </w:pPr>
            <w:bookmarkStart w:id="2" w:name="Accountable_To"/>
            <w:bookmarkStart w:id="3" w:name="Specific_Areas_of_Responsibility"/>
            <w:r w:rsidRPr="00E50FC8">
              <w:rPr>
                <w:rFonts w:ascii="Verdana" w:hAnsi="Verdana"/>
                <w:smallCaps/>
              </w:rPr>
              <w:t>Accountable To</w:t>
            </w:r>
            <w:bookmarkEnd w:id="2"/>
            <w:bookmarkEnd w:id="3"/>
          </w:p>
        </w:tc>
        <w:tc>
          <w:tcPr>
            <w:tcW w:w="7853" w:type="dxa"/>
            <w:shd w:val="clear" w:color="auto" w:fill="auto"/>
          </w:tcPr>
          <w:p w14:paraId="70AC1D53" w14:textId="095E555B" w:rsidR="00E35397" w:rsidRDefault="00E35397" w:rsidP="00E50FC8">
            <w:pPr>
              <w:spacing w:before="120" w:after="120"/>
              <w:rPr>
                <w:rFonts w:ascii="Verdana" w:hAnsi="Verdana"/>
                <w:color w:val="595959" w:themeColor="text1" w:themeTint="A6"/>
                <w:szCs w:val="20"/>
              </w:rPr>
            </w:pPr>
            <w:r>
              <w:rPr>
                <w:rFonts w:ascii="Verdana" w:hAnsi="Verdana"/>
                <w:color w:val="595959" w:themeColor="text1" w:themeTint="A6"/>
                <w:szCs w:val="20"/>
              </w:rPr>
              <w:t xml:space="preserve">Diane Shendruk, VP Clinical Operations North  </w:t>
            </w:r>
          </w:p>
          <w:p w14:paraId="28C968CA" w14:textId="075C0803" w:rsidR="00E50FC8" w:rsidRDefault="003A7C0F" w:rsidP="00E50FC8">
            <w:pPr>
              <w:spacing w:before="120" w:after="120"/>
              <w:rPr>
                <w:rFonts w:ascii="Verdana" w:hAnsi="Verdana"/>
                <w:color w:val="595959" w:themeColor="text1" w:themeTint="A6"/>
                <w:szCs w:val="20"/>
              </w:rPr>
            </w:pPr>
            <w:r>
              <w:rPr>
                <w:rFonts w:ascii="Verdana" w:hAnsi="Verdana"/>
                <w:color w:val="595959" w:themeColor="text1" w:themeTint="A6"/>
                <w:szCs w:val="20"/>
              </w:rPr>
              <w:t>ESN &amp; MNCY Networks</w:t>
            </w:r>
          </w:p>
          <w:p w14:paraId="41D93F64" w14:textId="0AF25B55" w:rsidR="003A7C0F" w:rsidRPr="00E50FC8" w:rsidRDefault="003A7C0F" w:rsidP="00E50FC8">
            <w:pPr>
              <w:spacing w:before="120" w:after="120"/>
              <w:rPr>
                <w:rFonts w:ascii="Verdana" w:hAnsi="Verdana"/>
                <w:color w:val="595959" w:themeColor="text1" w:themeTint="A6"/>
                <w:szCs w:val="20"/>
              </w:rPr>
            </w:pPr>
            <w:r>
              <w:rPr>
                <w:rFonts w:ascii="Verdana" w:hAnsi="Verdana"/>
                <w:color w:val="595959" w:themeColor="text1" w:themeTint="A6"/>
                <w:szCs w:val="20"/>
              </w:rPr>
              <w:t>SAFE Steering Committee</w:t>
            </w:r>
          </w:p>
        </w:tc>
      </w:tr>
      <w:tr w:rsidR="00E50FC8" w:rsidRPr="003D61A5" w14:paraId="0D2BC48F" w14:textId="77777777" w:rsidTr="00E70A64">
        <w:tc>
          <w:tcPr>
            <w:tcW w:w="2217" w:type="dxa"/>
            <w:shd w:val="clear" w:color="auto" w:fill="auto"/>
          </w:tcPr>
          <w:p w14:paraId="558EB7E4" w14:textId="1B3D74D5" w:rsidR="00E50FC8" w:rsidRPr="00E50FC8" w:rsidRDefault="00E50FC8" w:rsidP="00E50FC8">
            <w:pPr>
              <w:rPr>
                <w:rFonts w:ascii="Verdana" w:hAnsi="Verdana"/>
                <w:smallCaps/>
              </w:rPr>
            </w:pPr>
            <w:bookmarkStart w:id="4" w:name="Authority"/>
            <w:r w:rsidRPr="00E50FC8">
              <w:rPr>
                <w:rFonts w:ascii="Verdana" w:hAnsi="Verdana"/>
                <w:smallCaps/>
              </w:rPr>
              <w:t>Authority</w:t>
            </w:r>
            <w:bookmarkEnd w:id="4"/>
          </w:p>
        </w:tc>
        <w:tc>
          <w:tcPr>
            <w:tcW w:w="7853" w:type="dxa"/>
            <w:shd w:val="clear" w:color="auto" w:fill="auto"/>
          </w:tcPr>
          <w:p w14:paraId="6EE2A2E9" w14:textId="3218DF69" w:rsidR="00E50FC8" w:rsidRDefault="00E35397" w:rsidP="00E50FC8">
            <w:pPr>
              <w:spacing w:before="120" w:after="120"/>
              <w:rPr>
                <w:rFonts w:ascii="Verdana" w:hAnsi="Verdana"/>
                <w:color w:val="595959" w:themeColor="text1" w:themeTint="A6"/>
                <w:szCs w:val="20"/>
              </w:rPr>
            </w:pPr>
            <w:r>
              <w:rPr>
                <w:rFonts w:ascii="Verdana" w:hAnsi="Verdana"/>
                <w:color w:val="595959" w:themeColor="text1" w:themeTint="A6"/>
                <w:szCs w:val="20"/>
              </w:rPr>
              <w:t>The scope of this committee encompasses decision-making that is regional in nature, with recommendations for</w:t>
            </w:r>
            <w:r w:rsidR="00AF2B51">
              <w:rPr>
                <w:rFonts w:ascii="Verdana" w:hAnsi="Verdana"/>
                <w:color w:val="595959" w:themeColor="text1" w:themeTint="A6"/>
                <w:szCs w:val="20"/>
              </w:rPr>
              <w:t xml:space="preserve"> improvements to the design, </w:t>
            </w:r>
            <w:r>
              <w:rPr>
                <w:rFonts w:ascii="Verdana" w:hAnsi="Verdana"/>
                <w:color w:val="595959" w:themeColor="text1" w:themeTint="A6"/>
                <w:szCs w:val="20"/>
              </w:rPr>
              <w:t xml:space="preserve">implementation </w:t>
            </w:r>
            <w:r w:rsidR="00AF2B51">
              <w:rPr>
                <w:rFonts w:ascii="Verdana" w:hAnsi="Verdana"/>
                <w:color w:val="595959" w:themeColor="text1" w:themeTint="A6"/>
                <w:szCs w:val="20"/>
              </w:rPr>
              <w:t xml:space="preserve">and sustainment </w:t>
            </w:r>
            <w:r>
              <w:rPr>
                <w:rFonts w:ascii="Verdana" w:hAnsi="Verdana"/>
                <w:color w:val="595959" w:themeColor="text1" w:themeTint="A6"/>
                <w:szCs w:val="20"/>
              </w:rPr>
              <w:t>of a regional SAFE program starting in all IH’s Emergency Departments (EDs). This program must meet the mandate se</w:t>
            </w:r>
            <w:r w:rsidR="00593FC3">
              <w:rPr>
                <w:rFonts w:ascii="Verdana" w:hAnsi="Verdana"/>
                <w:color w:val="595959" w:themeColor="text1" w:themeTint="A6"/>
                <w:szCs w:val="20"/>
              </w:rPr>
              <w:t>t out b</w:t>
            </w:r>
            <w:r w:rsidR="00AF2B51">
              <w:rPr>
                <w:rFonts w:ascii="Verdana" w:hAnsi="Verdana"/>
                <w:color w:val="595959" w:themeColor="text1" w:themeTint="A6"/>
                <w:szCs w:val="20"/>
              </w:rPr>
              <w:t>y the MOH</w:t>
            </w:r>
            <w:r>
              <w:rPr>
                <w:rFonts w:ascii="Verdana" w:hAnsi="Verdana"/>
                <w:color w:val="595959" w:themeColor="text1" w:themeTint="A6"/>
                <w:szCs w:val="20"/>
              </w:rPr>
              <w:t xml:space="preserve"> in their </w:t>
            </w:r>
            <w:r w:rsidRPr="00A61BBB">
              <w:rPr>
                <w:rFonts w:ascii="Verdana" w:hAnsi="Verdana"/>
                <w:i/>
                <w:color w:val="595959" w:themeColor="text1" w:themeTint="A6"/>
                <w:szCs w:val="20"/>
              </w:rPr>
              <w:t xml:space="preserve">Access to </w:t>
            </w:r>
            <w:r w:rsidR="00AF2B51">
              <w:rPr>
                <w:rFonts w:ascii="Verdana" w:hAnsi="Verdana"/>
                <w:i/>
                <w:color w:val="595959" w:themeColor="text1" w:themeTint="A6"/>
                <w:szCs w:val="20"/>
              </w:rPr>
              <w:t>SAFE</w:t>
            </w:r>
            <w:r w:rsidRPr="00A61BBB">
              <w:rPr>
                <w:rFonts w:ascii="Verdana" w:hAnsi="Verdana"/>
                <w:i/>
                <w:color w:val="595959" w:themeColor="text1" w:themeTint="A6"/>
                <w:szCs w:val="20"/>
              </w:rPr>
              <w:t xml:space="preserve"> Service in Hospital Emergency Departments</w:t>
            </w:r>
            <w:r w:rsidR="00593FC3">
              <w:rPr>
                <w:rFonts w:ascii="Verdana" w:hAnsi="Verdana"/>
                <w:color w:val="595959" w:themeColor="text1" w:themeTint="A6"/>
                <w:szCs w:val="20"/>
              </w:rPr>
              <w:t xml:space="preserve"> policy</w:t>
            </w:r>
            <w:r w:rsidR="00F30B62">
              <w:rPr>
                <w:rFonts w:ascii="Verdana" w:hAnsi="Verdana"/>
                <w:color w:val="595959" w:themeColor="text1" w:themeTint="A6"/>
                <w:szCs w:val="20"/>
              </w:rPr>
              <w:t xml:space="preserve"> and guideline</w:t>
            </w:r>
            <w:r w:rsidR="00593FC3">
              <w:rPr>
                <w:rFonts w:ascii="Verdana" w:hAnsi="Verdana"/>
                <w:color w:val="595959" w:themeColor="text1" w:themeTint="A6"/>
                <w:szCs w:val="20"/>
              </w:rPr>
              <w:t xml:space="preserve">. </w:t>
            </w:r>
          </w:p>
          <w:p w14:paraId="5F319B9D" w14:textId="21879E6D" w:rsidR="00E35397" w:rsidRPr="00E50FC8" w:rsidRDefault="00E35397" w:rsidP="00AF2B51">
            <w:pPr>
              <w:spacing w:before="120" w:after="120"/>
              <w:rPr>
                <w:rFonts w:ascii="Verdana" w:hAnsi="Verdana"/>
                <w:color w:val="595959" w:themeColor="text1" w:themeTint="A6"/>
                <w:szCs w:val="20"/>
              </w:rPr>
            </w:pPr>
            <w:r>
              <w:rPr>
                <w:rFonts w:ascii="Verdana" w:hAnsi="Verdana"/>
                <w:color w:val="595959" w:themeColor="text1" w:themeTint="A6"/>
                <w:szCs w:val="20"/>
              </w:rPr>
              <w:t>While it is the committee’s respons</w:t>
            </w:r>
            <w:r w:rsidR="00AF2B51">
              <w:rPr>
                <w:rFonts w:ascii="Verdana" w:hAnsi="Verdana"/>
                <w:color w:val="595959" w:themeColor="text1" w:themeTint="A6"/>
                <w:szCs w:val="20"/>
              </w:rPr>
              <w:t>ibility to guide strategic direction</w:t>
            </w:r>
            <w:r>
              <w:rPr>
                <w:rFonts w:ascii="Verdana" w:hAnsi="Verdana"/>
                <w:color w:val="595959" w:themeColor="text1" w:themeTint="A6"/>
                <w:szCs w:val="20"/>
              </w:rPr>
              <w:t xml:space="preserve"> for the SAFE program, the execution and day to day operations will be the responsibility of our operational partners includi</w:t>
            </w:r>
            <w:r w:rsidR="00AF2B51">
              <w:rPr>
                <w:rFonts w:ascii="Verdana" w:hAnsi="Verdana"/>
                <w:color w:val="595959" w:themeColor="text1" w:themeTint="A6"/>
                <w:szCs w:val="20"/>
              </w:rPr>
              <w:t>ng physicians and other IH staff</w:t>
            </w:r>
            <w:r>
              <w:rPr>
                <w:rFonts w:ascii="Verdana" w:hAnsi="Verdana"/>
                <w:color w:val="595959" w:themeColor="text1" w:themeTint="A6"/>
                <w:szCs w:val="20"/>
              </w:rPr>
              <w:t>.</w:t>
            </w:r>
          </w:p>
        </w:tc>
      </w:tr>
      <w:tr w:rsidR="00E50FC8" w:rsidRPr="003D61A5" w14:paraId="0AD82558" w14:textId="77777777" w:rsidTr="00E70A64">
        <w:tc>
          <w:tcPr>
            <w:tcW w:w="2217" w:type="dxa"/>
            <w:shd w:val="clear" w:color="auto" w:fill="auto"/>
          </w:tcPr>
          <w:p w14:paraId="76AB288E" w14:textId="77777777" w:rsidR="00E50FC8" w:rsidRPr="00E50FC8" w:rsidRDefault="00E50FC8" w:rsidP="00E50FC8">
            <w:pPr>
              <w:rPr>
                <w:rFonts w:ascii="Verdana" w:hAnsi="Verdana"/>
                <w:smallCaps/>
              </w:rPr>
            </w:pPr>
            <w:bookmarkStart w:id="5" w:name="Appointments"/>
            <w:r w:rsidRPr="00E50FC8">
              <w:rPr>
                <w:rFonts w:ascii="Verdana" w:hAnsi="Verdana"/>
                <w:smallCaps/>
              </w:rPr>
              <w:t>Appointments</w:t>
            </w:r>
            <w:bookmarkEnd w:id="5"/>
          </w:p>
          <w:p w14:paraId="6320525A" w14:textId="765359DB" w:rsidR="00E50FC8" w:rsidRPr="00E50FC8" w:rsidRDefault="00E50FC8" w:rsidP="00E50FC8">
            <w:pPr>
              <w:rPr>
                <w:rFonts w:ascii="Verdana" w:hAnsi="Verdana"/>
                <w:smallCaps/>
              </w:rPr>
            </w:pPr>
          </w:p>
        </w:tc>
        <w:tc>
          <w:tcPr>
            <w:tcW w:w="7853" w:type="dxa"/>
            <w:shd w:val="clear" w:color="auto" w:fill="auto"/>
          </w:tcPr>
          <w:p w14:paraId="6B39289E" w14:textId="5430A37F" w:rsidR="00E50FC8" w:rsidRPr="00BB2C4D" w:rsidRDefault="00593FC3" w:rsidP="00E50FC8">
            <w:pPr>
              <w:spacing w:before="120" w:after="120"/>
              <w:rPr>
                <w:rFonts w:ascii="Verdana" w:hAnsi="Verdana"/>
                <w:color w:val="595959" w:themeColor="text1" w:themeTint="A6"/>
                <w:szCs w:val="20"/>
              </w:rPr>
            </w:pPr>
            <w:r>
              <w:rPr>
                <w:rFonts w:ascii="Verdana" w:hAnsi="Verdana"/>
                <w:color w:val="595959" w:themeColor="text1" w:themeTint="A6"/>
                <w:szCs w:val="20"/>
              </w:rPr>
              <w:t xml:space="preserve">The members of this committee are </w:t>
            </w:r>
            <w:r w:rsidR="00BB2C4D">
              <w:rPr>
                <w:rFonts w:ascii="Verdana" w:hAnsi="Verdana"/>
                <w:color w:val="595959" w:themeColor="text1" w:themeTint="A6"/>
                <w:szCs w:val="20"/>
              </w:rPr>
              <w:t>established</w:t>
            </w:r>
            <w:r>
              <w:rPr>
                <w:rFonts w:ascii="Verdana" w:hAnsi="Verdana"/>
                <w:color w:val="595959" w:themeColor="text1" w:themeTint="A6"/>
                <w:szCs w:val="20"/>
              </w:rPr>
              <w:t xml:space="preserve"> through consultation with the SAFE steering committee and members of both the ESN and MNCY Networks to ensure</w:t>
            </w:r>
            <w:r w:rsidR="00BB2C4D">
              <w:rPr>
                <w:rFonts w:ascii="Verdana" w:hAnsi="Verdana"/>
                <w:color w:val="595959" w:themeColor="text1" w:themeTint="A6"/>
                <w:szCs w:val="20"/>
              </w:rPr>
              <w:t xml:space="preserve"> adequate</w:t>
            </w:r>
            <w:r>
              <w:rPr>
                <w:rFonts w:ascii="Verdana" w:hAnsi="Verdana"/>
                <w:color w:val="595959" w:themeColor="text1" w:themeTint="A6"/>
                <w:szCs w:val="20"/>
              </w:rPr>
              <w:t xml:space="preserve"> </w:t>
            </w:r>
            <w:r w:rsidR="00BB2C4D">
              <w:rPr>
                <w:rFonts w:ascii="Verdana" w:hAnsi="Verdana"/>
                <w:color w:val="595959" w:themeColor="text1" w:themeTint="A6"/>
                <w:szCs w:val="20"/>
              </w:rPr>
              <w:t xml:space="preserve">representation from internal and external key stakeholders. </w:t>
            </w:r>
            <w:r>
              <w:rPr>
                <w:rFonts w:ascii="Verdana" w:hAnsi="Verdana"/>
                <w:color w:val="595959" w:themeColor="text1" w:themeTint="A6"/>
                <w:szCs w:val="20"/>
              </w:rPr>
              <w:t xml:space="preserve"> </w:t>
            </w:r>
          </w:p>
        </w:tc>
      </w:tr>
      <w:tr w:rsidR="00E50FC8" w:rsidRPr="003D61A5" w14:paraId="50EB18D5" w14:textId="77777777" w:rsidTr="00621080">
        <w:trPr>
          <w:trHeight w:val="70"/>
        </w:trPr>
        <w:tc>
          <w:tcPr>
            <w:tcW w:w="2217" w:type="dxa"/>
            <w:shd w:val="clear" w:color="auto" w:fill="auto"/>
          </w:tcPr>
          <w:p w14:paraId="211D62D5" w14:textId="31F7240A" w:rsidR="00E50FC8" w:rsidRPr="00E50FC8" w:rsidRDefault="00E50FC8" w:rsidP="00E50FC8">
            <w:pPr>
              <w:rPr>
                <w:rFonts w:ascii="Verdana" w:hAnsi="Verdana"/>
                <w:smallCaps/>
              </w:rPr>
            </w:pPr>
            <w:bookmarkStart w:id="6" w:name="Membership"/>
            <w:r w:rsidRPr="00E50FC8">
              <w:rPr>
                <w:rFonts w:ascii="Verdana" w:hAnsi="Verdana"/>
                <w:smallCaps/>
              </w:rPr>
              <w:lastRenderedPageBreak/>
              <w:t>Membership</w:t>
            </w:r>
            <w:bookmarkEnd w:id="6"/>
          </w:p>
        </w:tc>
        <w:tc>
          <w:tcPr>
            <w:tcW w:w="7853" w:type="dxa"/>
            <w:shd w:val="clear" w:color="auto" w:fill="auto"/>
          </w:tcPr>
          <w:p w14:paraId="449984B8" w14:textId="506130B9" w:rsidR="0085222B" w:rsidRDefault="00BB2C4D" w:rsidP="00E50FC8">
            <w:pPr>
              <w:spacing w:before="120" w:after="120"/>
              <w:rPr>
                <w:rFonts w:ascii="Calibri" w:hAnsi="Calibri" w:cs="Calibri"/>
                <w:sz w:val="24"/>
                <w:lang w:val="en-CA" w:eastAsia="en-CA"/>
              </w:rPr>
            </w:pPr>
            <w:r>
              <w:rPr>
                <w:rFonts w:ascii="Calibri" w:hAnsi="Calibri" w:cs="Calibri"/>
                <w:sz w:val="24"/>
                <w:lang w:val="en-CA" w:eastAsia="en-CA"/>
              </w:rPr>
              <w:t>Membership includes the following:</w:t>
            </w:r>
          </w:p>
          <w:p w14:paraId="1F3B0DC8" w14:textId="73940144" w:rsidR="00BB2C4D" w:rsidRDefault="00BB2C4D" w:rsidP="00BB2C4D">
            <w:pPr>
              <w:pStyle w:val="ListParagraph"/>
              <w:numPr>
                <w:ilvl w:val="0"/>
                <w:numId w:val="22"/>
              </w:numPr>
              <w:spacing w:before="120" w:after="120"/>
              <w:rPr>
                <w:rFonts w:ascii="Verdana" w:hAnsi="Verdana"/>
                <w:color w:val="595959" w:themeColor="text1" w:themeTint="A6"/>
                <w:szCs w:val="20"/>
              </w:rPr>
            </w:pPr>
            <w:r>
              <w:rPr>
                <w:rFonts w:ascii="Verdana" w:hAnsi="Verdana"/>
                <w:color w:val="595959" w:themeColor="text1" w:themeTint="A6"/>
                <w:szCs w:val="20"/>
              </w:rPr>
              <w:t>ESN and MNCY Network representatives</w:t>
            </w:r>
          </w:p>
          <w:p w14:paraId="1001702A" w14:textId="105F5D45" w:rsidR="00BB2C4D" w:rsidRDefault="00BB2C4D" w:rsidP="00BB2C4D">
            <w:pPr>
              <w:pStyle w:val="ListParagraph"/>
              <w:numPr>
                <w:ilvl w:val="0"/>
                <w:numId w:val="22"/>
              </w:numPr>
              <w:spacing w:before="120" w:after="120"/>
              <w:rPr>
                <w:rFonts w:ascii="Verdana" w:hAnsi="Verdana"/>
                <w:color w:val="595959" w:themeColor="text1" w:themeTint="A6"/>
                <w:szCs w:val="20"/>
              </w:rPr>
            </w:pPr>
            <w:r>
              <w:rPr>
                <w:rFonts w:ascii="Verdana" w:hAnsi="Verdana"/>
                <w:color w:val="595959" w:themeColor="text1" w:themeTint="A6"/>
                <w:szCs w:val="20"/>
              </w:rPr>
              <w:t>Patient Partners</w:t>
            </w:r>
          </w:p>
          <w:p w14:paraId="3589E1B4" w14:textId="4465E93F" w:rsidR="00BB2C4D" w:rsidRDefault="00BB2C4D" w:rsidP="00BB2C4D">
            <w:pPr>
              <w:pStyle w:val="ListParagraph"/>
              <w:numPr>
                <w:ilvl w:val="0"/>
                <w:numId w:val="22"/>
              </w:numPr>
              <w:spacing w:before="120" w:after="120"/>
              <w:rPr>
                <w:rFonts w:ascii="Verdana" w:hAnsi="Verdana"/>
                <w:color w:val="595959" w:themeColor="text1" w:themeTint="A6"/>
                <w:szCs w:val="20"/>
              </w:rPr>
            </w:pPr>
            <w:r>
              <w:rPr>
                <w:rFonts w:ascii="Verdana" w:hAnsi="Verdana"/>
                <w:color w:val="595959" w:themeColor="text1" w:themeTint="A6"/>
                <w:szCs w:val="20"/>
              </w:rPr>
              <w:t>Clinical Operations Representatives</w:t>
            </w:r>
          </w:p>
          <w:p w14:paraId="4FF585A1" w14:textId="77777777" w:rsidR="00AF2B51" w:rsidRDefault="00AF2B51" w:rsidP="00BB2C4D">
            <w:pPr>
              <w:pStyle w:val="ListParagraph"/>
              <w:numPr>
                <w:ilvl w:val="0"/>
                <w:numId w:val="22"/>
              </w:numPr>
              <w:spacing w:before="120" w:after="120"/>
              <w:rPr>
                <w:rFonts w:ascii="Verdana" w:hAnsi="Verdana"/>
                <w:color w:val="595959" w:themeColor="text1" w:themeTint="A6"/>
                <w:szCs w:val="20"/>
              </w:rPr>
            </w:pPr>
            <w:r>
              <w:rPr>
                <w:rFonts w:ascii="Verdana" w:hAnsi="Verdana"/>
                <w:color w:val="595959" w:themeColor="text1" w:themeTint="A6"/>
                <w:szCs w:val="20"/>
              </w:rPr>
              <w:t xml:space="preserve">ED physicians </w:t>
            </w:r>
          </w:p>
          <w:p w14:paraId="14B1E64A" w14:textId="4ADFA5D9" w:rsidR="00BB2C4D" w:rsidRDefault="00AF2B51" w:rsidP="00BB2C4D">
            <w:pPr>
              <w:pStyle w:val="ListParagraph"/>
              <w:numPr>
                <w:ilvl w:val="0"/>
                <w:numId w:val="22"/>
              </w:numPr>
              <w:spacing w:before="120" w:after="120"/>
              <w:rPr>
                <w:rFonts w:ascii="Verdana" w:hAnsi="Verdana"/>
                <w:color w:val="595959" w:themeColor="text1" w:themeTint="A6"/>
                <w:szCs w:val="20"/>
              </w:rPr>
            </w:pPr>
            <w:r>
              <w:rPr>
                <w:rFonts w:ascii="Verdana" w:hAnsi="Verdana"/>
                <w:color w:val="595959" w:themeColor="text1" w:themeTint="A6"/>
                <w:szCs w:val="20"/>
              </w:rPr>
              <w:t>P</w:t>
            </w:r>
            <w:r w:rsidR="00BB2C4D">
              <w:rPr>
                <w:rFonts w:ascii="Verdana" w:hAnsi="Verdana"/>
                <w:color w:val="595959" w:themeColor="text1" w:themeTint="A6"/>
                <w:szCs w:val="20"/>
              </w:rPr>
              <w:t>ediatrician</w:t>
            </w:r>
          </w:p>
          <w:p w14:paraId="554F0841" w14:textId="00030FC2" w:rsidR="00BB2C4D" w:rsidRDefault="00BB2C4D" w:rsidP="00BB2C4D">
            <w:pPr>
              <w:pStyle w:val="ListParagraph"/>
              <w:numPr>
                <w:ilvl w:val="0"/>
                <w:numId w:val="22"/>
              </w:numPr>
              <w:spacing w:before="120" w:after="120"/>
              <w:rPr>
                <w:rFonts w:ascii="Verdana" w:hAnsi="Verdana"/>
                <w:color w:val="595959" w:themeColor="text1" w:themeTint="A6"/>
                <w:szCs w:val="20"/>
              </w:rPr>
            </w:pPr>
            <w:r>
              <w:rPr>
                <w:rFonts w:ascii="Verdana" w:hAnsi="Verdana"/>
                <w:color w:val="595959" w:themeColor="text1" w:themeTint="A6"/>
                <w:szCs w:val="20"/>
              </w:rPr>
              <w:t>Safe examiners</w:t>
            </w:r>
          </w:p>
          <w:p w14:paraId="10804578" w14:textId="51BA9327" w:rsidR="00BB2C4D" w:rsidRDefault="00BB2C4D" w:rsidP="00BB2C4D">
            <w:pPr>
              <w:pStyle w:val="ListParagraph"/>
              <w:numPr>
                <w:ilvl w:val="0"/>
                <w:numId w:val="22"/>
              </w:numPr>
              <w:spacing w:before="120" w:after="120"/>
              <w:rPr>
                <w:rFonts w:ascii="Verdana" w:hAnsi="Verdana"/>
                <w:color w:val="595959" w:themeColor="text1" w:themeTint="A6"/>
                <w:szCs w:val="20"/>
              </w:rPr>
            </w:pPr>
            <w:r>
              <w:rPr>
                <w:rFonts w:ascii="Verdana" w:hAnsi="Verdana"/>
                <w:color w:val="595959" w:themeColor="text1" w:themeTint="A6"/>
                <w:szCs w:val="20"/>
              </w:rPr>
              <w:t>Aboriginal Partners</w:t>
            </w:r>
          </w:p>
          <w:p w14:paraId="7DAC11BC" w14:textId="40F8D06D" w:rsidR="00BB2C4D" w:rsidRDefault="00BB2C4D" w:rsidP="00BB2C4D">
            <w:pPr>
              <w:pStyle w:val="ListParagraph"/>
              <w:numPr>
                <w:ilvl w:val="0"/>
                <w:numId w:val="22"/>
              </w:numPr>
              <w:spacing w:before="120" w:after="120"/>
              <w:rPr>
                <w:rFonts w:ascii="Verdana" w:hAnsi="Verdana"/>
                <w:color w:val="595959" w:themeColor="text1" w:themeTint="A6"/>
                <w:szCs w:val="20"/>
              </w:rPr>
            </w:pPr>
            <w:r>
              <w:rPr>
                <w:rFonts w:ascii="Verdana" w:hAnsi="Verdana"/>
                <w:color w:val="595959" w:themeColor="text1" w:themeTint="A6"/>
                <w:szCs w:val="20"/>
              </w:rPr>
              <w:t>Law Enforcement</w:t>
            </w:r>
          </w:p>
          <w:p w14:paraId="2460B2C7" w14:textId="1F90FD37" w:rsidR="00BB2C4D" w:rsidRDefault="00BB2C4D" w:rsidP="00BB2C4D">
            <w:pPr>
              <w:pStyle w:val="ListParagraph"/>
              <w:numPr>
                <w:ilvl w:val="0"/>
                <w:numId w:val="22"/>
              </w:numPr>
              <w:spacing w:before="120" w:after="120"/>
              <w:rPr>
                <w:rFonts w:ascii="Verdana" w:hAnsi="Verdana"/>
                <w:color w:val="595959" w:themeColor="text1" w:themeTint="A6"/>
                <w:szCs w:val="20"/>
              </w:rPr>
            </w:pPr>
            <w:r>
              <w:rPr>
                <w:rFonts w:ascii="Verdana" w:hAnsi="Verdana"/>
                <w:color w:val="595959" w:themeColor="text1" w:themeTint="A6"/>
                <w:szCs w:val="20"/>
              </w:rPr>
              <w:t>Social work</w:t>
            </w:r>
          </w:p>
          <w:p w14:paraId="184EE074" w14:textId="03BE4199" w:rsidR="00BB2C4D" w:rsidRDefault="00BB2C4D" w:rsidP="00BB2C4D">
            <w:pPr>
              <w:pStyle w:val="ListParagraph"/>
              <w:numPr>
                <w:ilvl w:val="0"/>
                <w:numId w:val="22"/>
              </w:numPr>
              <w:spacing w:before="120" w:after="120"/>
              <w:rPr>
                <w:rFonts w:ascii="Verdana" w:hAnsi="Verdana"/>
                <w:color w:val="595959" w:themeColor="text1" w:themeTint="A6"/>
                <w:szCs w:val="20"/>
              </w:rPr>
            </w:pPr>
            <w:r>
              <w:rPr>
                <w:rFonts w:ascii="Verdana" w:hAnsi="Verdana"/>
                <w:color w:val="595959" w:themeColor="text1" w:themeTint="A6"/>
                <w:szCs w:val="20"/>
              </w:rPr>
              <w:t>Community services</w:t>
            </w:r>
          </w:p>
          <w:p w14:paraId="34E73A50" w14:textId="2FFAA758" w:rsidR="00BB2C4D" w:rsidRDefault="00BB2C4D" w:rsidP="00BB2C4D">
            <w:pPr>
              <w:spacing w:before="120" w:after="120"/>
              <w:rPr>
                <w:rFonts w:ascii="Verdana" w:hAnsi="Verdana"/>
                <w:color w:val="595959" w:themeColor="text1" w:themeTint="A6"/>
                <w:szCs w:val="20"/>
              </w:rPr>
            </w:pPr>
          </w:p>
          <w:p w14:paraId="3DF2B183" w14:textId="1F1017AA" w:rsidR="00BB2C4D" w:rsidRDefault="00BB2C4D" w:rsidP="00BB2C4D">
            <w:pPr>
              <w:spacing w:before="120" w:after="120"/>
              <w:rPr>
                <w:rFonts w:ascii="Verdana" w:hAnsi="Verdana"/>
                <w:color w:val="595959" w:themeColor="text1" w:themeTint="A6"/>
                <w:szCs w:val="20"/>
              </w:rPr>
            </w:pPr>
            <w:r>
              <w:rPr>
                <w:rFonts w:ascii="Verdana" w:hAnsi="Verdana"/>
                <w:color w:val="595959" w:themeColor="text1" w:themeTint="A6"/>
                <w:szCs w:val="20"/>
              </w:rPr>
              <w:t>Ad-hoc members will be allowed</w:t>
            </w:r>
            <w:r w:rsidR="00AF2B51">
              <w:rPr>
                <w:rFonts w:ascii="Verdana" w:hAnsi="Verdana"/>
                <w:color w:val="595959" w:themeColor="text1" w:themeTint="A6"/>
                <w:szCs w:val="20"/>
              </w:rPr>
              <w:t xml:space="preserve"> and invited</w:t>
            </w:r>
            <w:r>
              <w:rPr>
                <w:rFonts w:ascii="Verdana" w:hAnsi="Verdana"/>
                <w:color w:val="595959" w:themeColor="text1" w:themeTint="A6"/>
                <w:szCs w:val="20"/>
              </w:rPr>
              <w:t xml:space="preserve"> as needed depending on the topic discussed. </w:t>
            </w:r>
          </w:p>
          <w:p w14:paraId="45EF847E" w14:textId="352F3BE7" w:rsidR="00BB2C4D" w:rsidRDefault="00BB2C4D" w:rsidP="00BB2C4D">
            <w:pPr>
              <w:spacing w:before="120" w:after="120"/>
              <w:rPr>
                <w:rFonts w:ascii="Verdana" w:hAnsi="Verdana"/>
                <w:color w:val="595959" w:themeColor="text1" w:themeTint="A6"/>
                <w:szCs w:val="20"/>
              </w:rPr>
            </w:pPr>
          </w:p>
          <w:p w14:paraId="7019CE8D" w14:textId="0571B5F7" w:rsidR="00BB2C4D" w:rsidRPr="00BB2C4D" w:rsidRDefault="00BB2C4D" w:rsidP="00BB2C4D">
            <w:pPr>
              <w:spacing w:before="120" w:after="120"/>
              <w:rPr>
                <w:rFonts w:ascii="Verdana" w:hAnsi="Verdana"/>
                <w:color w:val="595959" w:themeColor="text1" w:themeTint="A6"/>
                <w:szCs w:val="20"/>
              </w:rPr>
            </w:pPr>
            <w:r>
              <w:rPr>
                <w:rFonts w:ascii="Verdana" w:hAnsi="Verdana"/>
                <w:color w:val="595959" w:themeColor="text1" w:themeTint="A6"/>
                <w:szCs w:val="20"/>
              </w:rPr>
              <w:t xml:space="preserve">If designates are unable to attend, we request a delegate attends if available. </w:t>
            </w:r>
          </w:p>
          <w:p w14:paraId="76690CDB" w14:textId="77777777" w:rsidR="0085222B" w:rsidRDefault="0085222B" w:rsidP="0085222B">
            <w:pPr>
              <w:spacing w:before="120" w:after="120"/>
              <w:rPr>
                <w:rFonts w:ascii="Verdana" w:hAnsi="Verdana"/>
                <w:color w:val="595959" w:themeColor="text1" w:themeTint="A6"/>
                <w:szCs w:val="20"/>
              </w:rPr>
            </w:pPr>
            <w:r>
              <w:rPr>
                <w:rFonts w:ascii="Verdana" w:hAnsi="Verdana"/>
                <w:color w:val="595959" w:themeColor="text1" w:themeTint="A6"/>
                <w:szCs w:val="20"/>
              </w:rPr>
              <w:t>Chairperson – Lisa Hobenshield, Project Lead</w:t>
            </w:r>
          </w:p>
          <w:p w14:paraId="6D116F63" w14:textId="22C1DD4D" w:rsidR="00BB2C4D" w:rsidRPr="00902740" w:rsidRDefault="0085222B" w:rsidP="00E50FC8">
            <w:pPr>
              <w:spacing w:before="120" w:after="120"/>
              <w:rPr>
                <w:rFonts w:ascii="Verdana" w:hAnsi="Verdana"/>
                <w:color w:val="595959" w:themeColor="text1" w:themeTint="A6"/>
                <w:szCs w:val="20"/>
              </w:rPr>
            </w:pPr>
            <w:r>
              <w:rPr>
                <w:rFonts w:ascii="Verdana" w:hAnsi="Verdana"/>
                <w:color w:val="595959" w:themeColor="text1" w:themeTint="A6"/>
                <w:szCs w:val="20"/>
              </w:rPr>
              <w:t>Co-Chairs – Tracy Scott, Clinical Nurse Specialist – Child Maltreatment &amp; Sexual Violence, MNCY Network and Kathleen Nicholson, Transformational Lead, ESN Network</w:t>
            </w:r>
          </w:p>
        </w:tc>
      </w:tr>
      <w:tr w:rsidR="00E50FC8" w:rsidRPr="003D61A5" w14:paraId="6F162190" w14:textId="77777777" w:rsidTr="00FF7BC5">
        <w:trPr>
          <w:trHeight w:val="567"/>
        </w:trPr>
        <w:tc>
          <w:tcPr>
            <w:tcW w:w="2217" w:type="dxa"/>
            <w:shd w:val="clear" w:color="auto" w:fill="auto"/>
          </w:tcPr>
          <w:p w14:paraId="6624848F" w14:textId="0EDD3335" w:rsidR="00E50FC8" w:rsidRPr="00E50FC8" w:rsidRDefault="00E50FC8" w:rsidP="00E50FC8">
            <w:pPr>
              <w:rPr>
                <w:rFonts w:ascii="Verdana" w:hAnsi="Verdana"/>
                <w:smallCaps/>
              </w:rPr>
            </w:pPr>
            <w:r w:rsidRPr="00E50FC8">
              <w:rPr>
                <w:rFonts w:ascii="Verdana" w:hAnsi="Verdana"/>
                <w:smallCaps/>
              </w:rPr>
              <w:t>Quorum &amp; Voting</w:t>
            </w:r>
          </w:p>
        </w:tc>
        <w:tc>
          <w:tcPr>
            <w:tcW w:w="7853" w:type="dxa"/>
            <w:shd w:val="clear" w:color="auto" w:fill="auto"/>
          </w:tcPr>
          <w:p w14:paraId="34A9BF21" w14:textId="608208F9" w:rsidR="00E50FC8" w:rsidRPr="004B5C67" w:rsidRDefault="004B5C67" w:rsidP="00E50FC8">
            <w:pPr>
              <w:spacing w:before="120" w:after="120"/>
              <w:rPr>
                <w:rFonts w:ascii="Verdana" w:hAnsi="Verdana"/>
                <w:color w:val="595959" w:themeColor="text1" w:themeTint="A6"/>
                <w:szCs w:val="20"/>
              </w:rPr>
            </w:pPr>
            <w:r w:rsidRPr="004B5C67">
              <w:rPr>
                <w:rFonts w:ascii="Verdana" w:hAnsi="Verdana" w:cs="Calibri"/>
                <w:color w:val="595959" w:themeColor="text1" w:themeTint="A6"/>
                <w:szCs w:val="20"/>
                <w:lang w:val="en-CA" w:eastAsia="en-CA"/>
              </w:rPr>
              <w:t>A quorum shall be constituted by the presence of 50% (+1) of the members of the Committee. Decisions shall be made on the basis of a quorum, and each core committee member, including the chair, shall be entitled to one vote only</w:t>
            </w:r>
          </w:p>
        </w:tc>
      </w:tr>
      <w:tr w:rsidR="00E50FC8" w:rsidRPr="003D61A5" w14:paraId="1BF90D09" w14:textId="77777777" w:rsidTr="00E70A64">
        <w:tc>
          <w:tcPr>
            <w:tcW w:w="2217" w:type="dxa"/>
            <w:shd w:val="clear" w:color="auto" w:fill="auto"/>
          </w:tcPr>
          <w:p w14:paraId="3F128394" w14:textId="53DD8349" w:rsidR="00E50FC8" w:rsidRPr="00E50FC8" w:rsidRDefault="00E50FC8" w:rsidP="00E50FC8">
            <w:pPr>
              <w:rPr>
                <w:rFonts w:ascii="Verdana" w:hAnsi="Verdana"/>
                <w:smallCaps/>
              </w:rPr>
            </w:pPr>
            <w:bookmarkStart w:id="7" w:name="Meetings"/>
            <w:r w:rsidRPr="00E50FC8">
              <w:rPr>
                <w:rFonts w:ascii="Verdana" w:hAnsi="Verdana"/>
                <w:smallCaps/>
              </w:rPr>
              <w:t>Meetings</w:t>
            </w:r>
            <w:bookmarkEnd w:id="7"/>
          </w:p>
        </w:tc>
        <w:tc>
          <w:tcPr>
            <w:tcW w:w="7853" w:type="dxa"/>
            <w:shd w:val="clear" w:color="auto" w:fill="auto"/>
          </w:tcPr>
          <w:p w14:paraId="4532BA95" w14:textId="6E1B587F" w:rsidR="004B5C67" w:rsidRPr="004B5C67" w:rsidRDefault="004B5C67" w:rsidP="004B5C67">
            <w:pPr>
              <w:autoSpaceDE w:val="0"/>
              <w:autoSpaceDN w:val="0"/>
              <w:adjustRightInd w:val="0"/>
              <w:rPr>
                <w:rFonts w:ascii="Verdana" w:hAnsi="Verdana" w:cs="Calibri"/>
                <w:color w:val="595959" w:themeColor="text1" w:themeTint="A6"/>
                <w:szCs w:val="20"/>
                <w:lang w:val="en-CA" w:eastAsia="en-CA"/>
              </w:rPr>
            </w:pPr>
            <w:r w:rsidRPr="004B5C67">
              <w:rPr>
                <w:rFonts w:ascii="Verdana" w:hAnsi="Verdana" w:cs="Calibri"/>
                <w:b/>
                <w:color w:val="595959" w:themeColor="text1" w:themeTint="A6"/>
                <w:szCs w:val="20"/>
                <w:lang w:val="en-CA" w:eastAsia="en-CA"/>
              </w:rPr>
              <w:t>Frequency:</w:t>
            </w:r>
            <w:r w:rsidRPr="004B5C67">
              <w:rPr>
                <w:rFonts w:ascii="Verdana" w:hAnsi="Verdana" w:cs="Calibri"/>
                <w:color w:val="595959" w:themeColor="text1" w:themeTint="A6"/>
                <w:szCs w:val="20"/>
                <w:lang w:val="en-CA" w:eastAsia="en-CA"/>
              </w:rPr>
              <w:t xml:space="preserve"> Shall meet 4-6 times per year or more frequently as necessary </w:t>
            </w:r>
            <w:r w:rsidR="007072C4">
              <w:rPr>
                <w:rFonts w:ascii="Verdana" w:hAnsi="Verdana" w:cs="Calibri"/>
                <w:color w:val="595959" w:themeColor="text1" w:themeTint="A6"/>
                <w:szCs w:val="20"/>
                <w:lang w:val="en-CA" w:eastAsia="en-CA"/>
              </w:rPr>
              <w:t>at the call of the chairs</w:t>
            </w:r>
          </w:p>
          <w:p w14:paraId="462CBE65" w14:textId="77777777" w:rsidR="004B5C67" w:rsidRPr="004B5C67" w:rsidRDefault="004B5C67" w:rsidP="004B5C67">
            <w:pPr>
              <w:autoSpaceDE w:val="0"/>
              <w:autoSpaceDN w:val="0"/>
              <w:adjustRightInd w:val="0"/>
              <w:rPr>
                <w:rFonts w:ascii="Verdana" w:hAnsi="Verdana" w:cs="Calibri"/>
                <w:color w:val="595959" w:themeColor="text1" w:themeTint="A6"/>
                <w:szCs w:val="20"/>
                <w:lang w:val="en-CA" w:eastAsia="en-CA"/>
              </w:rPr>
            </w:pPr>
            <w:r w:rsidRPr="004B5C67">
              <w:rPr>
                <w:rFonts w:ascii="Verdana" w:hAnsi="Verdana" w:cs="Calibri-Bold"/>
                <w:b/>
                <w:bCs/>
                <w:color w:val="595959" w:themeColor="text1" w:themeTint="A6"/>
                <w:szCs w:val="20"/>
                <w:lang w:val="en-CA" w:eastAsia="en-CA"/>
              </w:rPr>
              <w:t>Location</w:t>
            </w:r>
            <w:r w:rsidRPr="004B5C67">
              <w:rPr>
                <w:rFonts w:ascii="Verdana" w:hAnsi="Verdana" w:cs="Calibri"/>
                <w:color w:val="595959" w:themeColor="text1" w:themeTint="A6"/>
                <w:szCs w:val="20"/>
                <w:lang w:val="en-CA" w:eastAsia="en-CA"/>
              </w:rPr>
              <w:t>: Location of meetings will be videoconference</w:t>
            </w:r>
          </w:p>
          <w:p w14:paraId="3BD9575B" w14:textId="3D91017B" w:rsidR="00E50FC8" w:rsidRPr="00E50FC8" w:rsidRDefault="004B5C67" w:rsidP="004B5C67">
            <w:pPr>
              <w:spacing w:before="120" w:after="120"/>
              <w:rPr>
                <w:rFonts w:ascii="Verdana" w:hAnsi="Verdana"/>
                <w:szCs w:val="20"/>
              </w:rPr>
            </w:pPr>
            <w:r w:rsidRPr="004B5C67">
              <w:rPr>
                <w:rFonts w:ascii="Verdana" w:hAnsi="Verdana" w:cs="Calibri-Bold"/>
                <w:b/>
                <w:bCs/>
                <w:color w:val="595959" w:themeColor="text1" w:themeTint="A6"/>
                <w:szCs w:val="20"/>
                <w:lang w:val="en-CA" w:eastAsia="en-CA"/>
              </w:rPr>
              <w:t>Minutes</w:t>
            </w:r>
            <w:r w:rsidRPr="004B5C67">
              <w:rPr>
                <w:rFonts w:ascii="Verdana" w:hAnsi="Verdana" w:cs="Calibri"/>
                <w:color w:val="595959" w:themeColor="text1" w:themeTint="A6"/>
                <w:szCs w:val="20"/>
                <w:lang w:val="en-CA" w:eastAsia="en-CA"/>
              </w:rPr>
              <w:t>: Minutes and agendas shall be prepared and master copies of the minutes shall be retained by the ESN</w:t>
            </w:r>
          </w:p>
        </w:tc>
      </w:tr>
      <w:tr w:rsidR="00E50FC8" w:rsidRPr="003D61A5" w14:paraId="7D51C7DC" w14:textId="77777777" w:rsidTr="00E70A64">
        <w:tc>
          <w:tcPr>
            <w:tcW w:w="2217" w:type="dxa"/>
            <w:shd w:val="clear" w:color="auto" w:fill="auto"/>
          </w:tcPr>
          <w:p w14:paraId="3C75D6FB" w14:textId="79FA81D7" w:rsidR="00E50FC8" w:rsidRPr="00E50FC8" w:rsidRDefault="00E50FC8" w:rsidP="00E50FC8">
            <w:pPr>
              <w:rPr>
                <w:rFonts w:ascii="Verdana" w:hAnsi="Verdana"/>
                <w:smallCaps/>
              </w:rPr>
            </w:pPr>
            <w:bookmarkStart w:id="8" w:name="Administration"/>
            <w:r w:rsidRPr="00E50FC8">
              <w:rPr>
                <w:rFonts w:ascii="Verdana" w:hAnsi="Verdana"/>
                <w:smallCaps/>
              </w:rPr>
              <w:t>Administration</w:t>
            </w:r>
            <w:bookmarkEnd w:id="8"/>
          </w:p>
        </w:tc>
        <w:tc>
          <w:tcPr>
            <w:tcW w:w="7853" w:type="dxa"/>
            <w:shd w:val="clear" w:color="auto" w:fill="auto"/>
          </w:tcPr>
          <w:p w14:paraId="669BAD3C" w14:textId="09929603" w:rsidR="00E50FC8" w:rsidRPr="00E50FC8" w:rsidRDefault="004B5C67" w:rsidP="00E50FC8">
            <w:pPr>
              <w:spacing w:before="120" w:after="120"/>
              <w:rPr>
                <w:rFonts w:ascii="Verdana" w:hAnsi="Verdana"/>
                <w:szCs w:val="20"/>
              </w:rPr>
            </w:pPr>
            <w:r>
              <w:rPr>
                <w:rFonts w:ascii="Verdana" w:hAnsi="Verdana"/>
                <w:color w:val="595959" w:themeColor="text1" w:themeTint="A6"/>
                <w:szCs w:val="20"/>
              </w:rPr>
              <w:t xml:space="preserve">Any administrative support will be carried out by the </w:t>
            </w:r>
            <w:r w:rsidR="007072C4">
              <w:rPr>
                <w:rFonts w:ascii="Verdana" w:hAnsi="Verdana"/>
                <w:color w:val="595959" w:themeColor="text1" w:themeTint="A6"/>
                <w:szCs w:val="20"/>
              </w:rPr>
              <w:t>chair and co-chairs as required</w:t>
            </w:r>
            <w:r>
              <w:rPr>
                <w:rFonts w:ascii="Verdana" w:hAnsi="Verdana"/>
                <w:color w:val="595959" w:themeColor="text1" w:themeTint="A6"/>
                <w:szCs w:val="20"/>
              </w:rPr>
              <w:t xml:space="preserve"> </w:t>
            </w:r>
          </w:p>
        </w:tc>
      </w:tr>
      <w:tr w:rsidR="00E50FC8" w:rsidRPr="003D61A5" w14:paraId="7D5334E6" w14:textId="77777777" w:rsidTr="00E70A64">
        <w:tc>
          <w:tcPr>
            <w:tcW w:w="2217" w:type="dxa"/>
            <w:shd w:val="clear" w:color="auto" w:fill="auto"/>
          </w:tcPr>
          <w:p w14:paraId="0C41CDF7" w14:textId="690834F5" w:rsidR="00E50FC8" w:rsidRPr="00E50FC8" w:rsidRDefault="00E50FC8" w:rsidP="007072C4">
            <w:pPr>
              <w:rPr>
                <w:rFonts w:ascii="Verdana" w:hAnsi="Verdana"/>
                <w:smallCaps/>
              </w:rPr>
            </w:pPr>
            <w:r w:rsidRPr="00E50FC8">
              <w:rPr>
                <w:rFonts w:ascii="Verdana" w:hAnsi="Verdana"/>
                <w:smallCaps/>
              </w:rPr>
              <w:t>Specific Areas of Responsibility</w:t>
            </w:r>
          </w:p>
        </w:tc>
        <w:tc>
          <w:tcPr>
            <w:tcW w:w="7853" w:type="dxa"/>
            <w:shd w:val="clear" w:color="auto" w:fill="auto"/>
          </w:tcPr>
          <w:p w14:paraId="7AE483FA" w14:textId="7FB6FDC4" w:rsidR="00E50FC8" w:rsidRDefault="00E50FC8" w:rsidP="00E50FC8">
            <w:pPr>
              <w:pStyle w:val="Default"/>
              <w:spacing w:before="120" w:after="120"/>
              <w:rPr>
                <w:rFonts w:ascii="Verdana" w:hAnsi="Verdana"/>
                <w:bCs/>
                <w:smallCaps/>
                <w:sz w:val="20"/>
                <w:szCs w:val="20"/>
              </w:rPr>
            </w:pPr>
            <w:r w:rsidRPr="00E50FC8">
              <w:rPr>
                <w:rFonts w:ascii="Verdana" w:hAnsi="Verdana"/>
                <w:bCs/>
                <w:smallCaps/>
                <w:sz w:val="20"/>
                <w:szCs w:val="20"/>
              </w:rPr>
              <w:t>Process &amp; Priorities</w:t>
            </w:r>
          </w:p>
          <w:p w14:paraId="2A323BBF" w14:textId="7A6B8313" w:rsidR="004B5C67" w:rsidRPr="004B5C67" w:rsidRDefault="004B5C67" w:rsidP="00E50FC8">
            <w:pPr>
              <w:pStyle w:val="Default"/>
              <w:spacing w:before="120" w:after="120"/>
              <w:rPr>
                <w:rFonts w:ascii="Verdana" w:hAnsi="Verdana"/>
                <w:bCs/>
                <w:smallCaps/>
                <w:sz w:val="20"/>
                <w:szCs w:val="20"/>
              </w:rPr>
            </w:pPr>
            <w:r w:rsidRPr="004B5C67">
              <w:rPr>
                <w:rFonts w:ascii="Verdana" w:hAnsi="Verdana"/>
                <w:color w:val="595959" w:themeColor="text1" w:themeTint="A6"/>
                <w:sz w:val="20"/>
                <w:szCs w:val="20"/>
              </w:rPr>
              <w:t>To design, guide, support</w:t>
            </w:r>
            <w:r w:rsidR="007072C4">
              <w:rPr>
                <w:rFonts w:ascii="Verdana" w:hAnsi="Verdana"/>
                <w:color w:val="595959" w:themeColor="text1" w:themeTint="A6"/>
                <w:sz w:val="20"/>
                <w:szCs w:val="20"/>
              </w:rPr>
              <w:t xml:space="preserve"> and evaluate IH’s</w:t>
            </w:r>
            <w:r w:rsidRPr="004B5C67">
              <w:rPr>
                <w:rFonts w:ascii="Verdana" w:hAnsi="Verdana"/>
                <w:color w:val="595959" w:themeColor="text1" w:themeTint="A6"/>
                <w:sz w:val="20"/>
                <w:szCs w:val="20"/>
              </w:rPr>
              <w:t xml:space="preserve"> </w:t>
            </w:r>
            <w:r w:rsidR="007072C4">
              <w:rPr>
                <w:rFonts w:ascii="Verdana" w:hAnsi="Verdana"/>
                <w:color w:val="595959" w:themeColor="text1" w:themeTint="A6"/>
                <w:sz w:val="20"/>
                <w:szCs w:val="20"/>
              </w:rPr>
              <w:t>SAFE</w:t>
            </w:r>
            <w:r w:rsidRPr="004B5C67">
              <w:rPr>
                <w:rFonts w:ascii="Verdana" w:hAnsi="Verdana"/>
                <w:color w:val="595959" w:themeColor="text1" w:themeTint="A6"/>
                <w:sz w:val="20"/>
                <w:szCs w:val="20"/>
              </w:rPr>
              <w:t xml:space="preserve"> program ensuring program is </w:t>
            </w:r>
            <w:r w:rsidR="007072C4">
              <w:rPr>
                <w:rFonts w:ascii="Verdana" w:hAnsi="Verdana"/>
                <w:color w:val="595959" w:themeColor="text1" w:themeTint="A6"/>
                <w:sz w:val="20"/>
                <w:szCs w:val="20"/>
              </w:rPr>
              <w:t xml:space="preserve">evidence </w:t>
            </w:r>
            <w:r w:rsidR="00145369">
              <w:rPr>
                <w:rFonts w:ascii="Verdana" w:hAnsi="Verdana"/>
                <w:color w:val="595959" w:themeColor="text1" w:themeTint="A6"/>
                <w:sz w:val="20"/>
                <w:szCs w:val="20"/>
              </w:rPr>
              <w:t xml:space="preserve">&amp; </w:t>
            </w:r>
            <w:r w:rsidR="00680EAB">
              <w:rPr>
                <w:rFonts w:ascii="Verdana" w:hAnsi="Verdana"/>
                <w:color w:val="595959" w:themeColor="text1" w:themeTint="A6"/>
                <w:sz w:val="20"/>
                <w:szCs w:val="20"/>
              </w:rPr>
              <w:t xml:space="preserve">trauma informed, culturally safe, patient centred </w:t>
            </w:r>
            <w:r w:rsidRPr="004B5C67">
              <w:rPr>
                <w:rFonts w:ascii="Verdana" w:hAnsi="Verdana"/>
                <w:color w:val="595959" w:themeColor="text1" w:themeTint="A6"/>
                <w:sz w:val="20"/>
                <w:szCs w:val="20"/>
              </w:rPr>
              <w:lastRenderedPageBreak/>
              <w:t xml:space="preserve">and aligns with the provincial </w:t>
            </w:r>
            <w:r w:rsidR="007072C4">
              <w:rPr>
                <w:rFonts w:ascii="Verdana" w:hAnsi="Verdana"/>
                <w:color w:val="595959" w:themeColor="text1" w:themeTint="A6"/>
                <w:sz w:val="20"/>
                <w:szCs w:val="20"/>
              </w:rPr>
              <w:t>MOH</w:t>
            </w:r>
            <w:r w:rsidRPr="004B5C67">
              <w:rPr>
                <w:rFonts w:ascii="Verdana" w:hAnsi="Verdana"/>
                <w:color w:val="595959" w:themeColor="text1" w:themeTint="A6"/>
                <w:sz w:val="20"/>
                <w:szCs w:val="20"/>
              </w:rPr>
              <w:t xml:space="preserve"> </w:t>
            </w:r>
            <w:r w:rsidRPr="004B5C67">
              <w:rPr>
                <w:rFonts w:ascii="Verdana" w:hAnsi="Verdana"/>
                <w:i/>
                <w:color w:val="595959" w:themeColor="text1" w:themeTint="A6"/>
                <w:sz w:val="20"/>
                <w:szCs w:val="20"/>
              </w:rPr>
              <w:t xml:space="preserve">Access to </w:t>
            </w:r>
            <w:r w:rsidR="007072C4">
              <w:rPr>
                <w:rFonts w:ascii="Verdana" w:hAnsi="Verdana"/>
                <w:i/>
                <w:color w:val="595959" w:themeColor="text1" w:themeTint="A6"/>
                <w:sz w:val="20"/>
                <w:szCs w:val="20"/>
              </w:rPr>
              <w:t>SAFE</w:t>
            </w:r>
            <w:r w:rsidRPr="004B5C67">
              <w:rPr>
                <w:rFonts w:ascii="Verdana" w:hAnsi="Verdana"/>
                <w:i/>
                <w:color w:val="595959" w:themeColor="text1" w:themeTint="A6"/>
                <w:sz w:val="20"/>
                <w:szCs w:val="20"/>
              </w:rPr>
              <w:t xml:space="preserve"> Service in Hospital Emergency Departments</w:t>
            </w:r>
            <w:r w:rsidR="00145369">
              <w:rPr>
                <w:rFonts w:ascii="Verdana" w:hAnsi="Verdana"/>
                <w:color w:val="595959" w:themeColor="text1" w:themeTint="A6"/>
                <w:sz w:val="20"/>
                <w:szCs w:val="20"/>
              </w:rPr>
              <w:t xml:space="preserve"> policy and guideline.</w:t>
            </w:r>
            <w:r w:rsidRPr="004B5C67">
              <w:rPr>
                <w:rFonts w:ascii="Verdana" w:hAnsi="Verdana"/>
                <w:color w:val="595959" w:themeColor="text1" w:themeTint="A6"/>
                <w:sz w:val="20"/>
                <w:szCs w:val="20"/>
              </w:rPr>
              <w:t xml:space="preserve">  </w:t>
            </w:r>
            <w:r>
              <w:rPr>
                <w:rFonts w:ascii="Verdana" w:hAnsi="Verdana"/>
                <w:color w:val="595959" w:themeColor="text1" w:themeTint="A6"/>
                <w:sz w:val="20"/>
                <w:szCs w:val="20"/>
              </w:rPr>
              <w:t xml:space="preserve">Advise on planning and future directions keeping in mind constraints of budget, </w:t>
            </w:r>
            <w:r w:rsidR="007072C4">
              <w:rPr>
                <w:rFonts w:ascii="Verdana" w:hAnsi="Verdana"/>
                <w:color w:val="595959" w:themeColor="text1" w:themeTint="A6"/>
                <w:sz w:val="20"/>
                <w:szCs w:val="20"/>
              </w:rPr>
              <w:t>MOH</w:t>
            </w:r>
            <w:r>
              <w:rPr>
                <w:rFonts w:ascii="Verdana" w:hAnsi="Verdana"/>
                <w:color w:val="595959" w:themeColor="text1" w:themeTint="A6"/>
                <w:sz w:val="20"/>
                <w:szCs w:val="20"/>
              </w:rPr>
              <w:t xml:space="preserve"> requirements, human and physical resources, geography and alignment of</w:t>
            </w:r>
            <w:r w:rsidR="007072C4">
              <w:rPr>
                <w:rFonts w:ascii="Verdana" w:hAnsi="Verdana"/>
                <w:color w:val="595959" w:themeColor="text1" w:themeTint="A6"/>
                <w:sz w:val="20"/>
                <w:szCs w:val="20"/>
              </w:rPr>
              <w:t xml:space="preserve"> other IH strategic initiatives</w:t>
            </w:r>
            <w:r w:rsidR="00145369">
              <w:rPr>
                <w:rFonts w:ascii="Verdana" w:hAnsi="Verdana"/>
                <w:color w:val="595959" w:themeColor="text1" w:themeTint="A6"/>
                <w:sz w:val="20"/>
                <w:szCs w:val="20"/>
              </w:rPr>
              <w:t>.</w:t>
            </w:r>
          </w:p>
          <w:p w14:paraId="662F5061" w14:textId="77777777" w:rsidR="00E50FC8" w:rsidRPr="00E50FC8" w:rsidRDefault="00E50FC8" w:rsidP="00E50FC8">
            <w:pPr>
              <w:pStyle w:val="Default"/>
              <w:spacing w:before="120" w:after="120"/>
              <w:rPr>
                <w:rFonts w:ascii="Verdana" w:hAnsi="Verdana"/>
                <w:smallCaps/>
                <w:sz w:val="20"/>
                <w:szCs w:val="20"/>
              </w:rPr>
            </w:pPr>
            <w:r w:rsidRPr="00E50FC8">
              <w:rPr>
                <w:rFonts w:ascii="Verdana" w:hAnsi="Verdana"/>
                <w:smallCaps/>
                <w:sz w:val="20"/>
                <w:szCs w:val="20"/>
              </w:rPr>
              <w:t>Alignment</w:t>
            </w:r>
          </w:p>
          <w:p w14:paraId="344CC92C" w14:textId="4F5CAB31" w:rsidR="004B5C67" w:rsidRPr="004B5C67" w:rsidRDefault="004B5C67" w:rsidP="00E50FC8">
            <w:pPr>
              <w:pStyle w:val="Default"/>
              <w:spacing w:before="120" w:after="120"/>
              <w:rPr>
                <w:rFonts w:ascii="Verdana" w:hAnsi="Verdana"/>
                <w:color w:val="595959" w:themeColor="text1" w:themeTint="A6"/>
                <w:sz w:val="20"/>
                <w:szCs w:val="20"/>
              </w:rPr>
            </w:pPr>
            <w:r w:rsidRPr="004B5C67">
              <w:rPr>
                <w:rFonts w:ascii="Verdana" w:hAnsi="Verdana"/>
                <w:color w:val="595959" w:themeColor="text1" w:themeTint="A6"/>
                <w:sz w:val="20"/>
                <w:szCs w:val="20"/>
              </w:rPr>
              <w:t xml:space="preserve">This work is in direct alignment with the </w:t>
            </w:r>
            <w:r w:rsidR="00145369">
              <w:rPr>
                <w:rFonts w:ascii="Verdana" w:hAnsi="Verdana"/>
                <w:color w:val="595959" w:themeColor="text1" w:themeTint="A6"/>
                <w:sz w:val="20"/>
                <w:szCs w:val="20"/>
              </w:rPr>
              <w:t>MOH</w:t>
            </w:r>
            <w:r w:rsidRPr="004B5C67">
              <w:rPr>
                <w:rFonts w:ascii="Verdana" w:hAnsi="Verdana"/>
                <w:color w:val="595959" w:themeColor="text1" w:themeTint="A6"/>
                <w:sz w:val="20"/>
                <w:szCs w:val="20"/>
              </w:rPr>
              <w:t xml:space="preserve"> requirements, IH’s strategic goal of delivering high quality care</w:t>
            </w:r>
            <w:r w:rsidR="00145369">
              <w:rPr>
                <w:rFonts w:ascii="Verdana" w:hAnsi="Verdana"/>
                <w:color w:val="595959" w:themeColor="text1" w:themeTint="A6"/>
                <w:sz w:val="20"/>
                <w:szCs w:val="20"/>
              </w:rPr>
              <w:t xml:space="preserve">, </w:t>
            </w:r>
            <w:r w:rsidRPr="004B5C67">
              <w:rPr>
                <w:rFonts w:ascii="Verdana" w:hAnsi="Verdana"/>
                <w:color w:val="595959" w:themeColor="text1" w:themeTint="A6"/>
                <w:sz w:val="20"/>
                <w:szCs w:val="20"/>
              </w:rPr>
              <w:t>the ESN Transformational Road Map</w:t>
            </w:r>
            <w:r w:rsidR="00145369">
              <w:rPr>
                <w:rFonts w:ascii="Verdana" w:hAnsi="Verdana"/>
                <w:color w:val="595959" w:themeColor="text1" w:themeTint="A6"/>
                <w:sz w:val="20"/>
                <w:szCs w:val="20"/>
              </w:rPr>
              <w:t>’</w:t>
            </w:r>
            <w:r w:rsidRPr="004B5C67">
              <w:rPr>
                <w:rFonts w:ascii="Verdana" w:hAnsi="Verdana"/>
                <w:color w:val="595959" w:themeColor="text1" w:themeTint="A6"/>
                <w:sz w:val="20"/>
                <w:szCs w:val="20"/>
              </w:rPr>
              <w:t xml:space="preserve">s strategic priority of implementing a </w:t>
            </w:r>
            <w:r w:rsidR="00145369">
              <w:rPr>
                <w:rFonts w:ascii="Verdana" w:hAnsi="Verdana"/>
                <w:color w:val="595959" w:themeColor="text1" w:themeTint="A6"/>
                <w:sz w:val="20"/>
                <w:szCs w:val="20"/>
              </w:rPr>
              <w:t>SAFE</w:t>
            </w:r>
            <w:r w:rsidRPr="004B5C67">
              <w:rPr>
                <w:rFonts w:ascii="Verdana" w:hAnsi="Verdana"/>
                <w:color w:val="595959" w:themeColor="text1" w:themeTint="A6"/>
                <w:sz w:val="20"/>
                <w:szCs w:val="20"/>
              </w:rPr>
              <w:t xml:space="preserve"> program for all IH ED’</w:t>
            </w:r>
            <w:r w:rsidR="00145369">
              <w:rPr>
                <w:rFonts w:ascii="Verdana" w:hAnsi="Verdana"/>
                <w:color w:val="595959" w:themeColor="text1" w:themeTint="A6"/>
                <w:sz w:val="20"/>
                <w:szCs w:val="20"/>
              </w:rPr>
              <w:t>s and the strategic priorities of the MNCY Network.</w:t>
            </w:r>
          </w:p>
          <w:p w14:paraId="61C48B94" w14:textId="18EF6D9C" w:rsidR="00E50FC8" w:rsidRPr="00E50FC8" w:rsidRDefault="00E50FC8" w:rsidP="00E50FC8">
            <w:pPr>
              <w:pStyle w:val="Default"/>
              <w:spacing w:before="120" w:after="120"/>
              <w:rPr>
                <w:rFonts w:ascii="Verdana" w:hAnsi="Verdana"/>
                <w:smallCaps/>
                <w:sz w:val="20"/>
                <w:szCs w:val="20"/>
              </w:rPr>
            </w:pPr>
            <w:r w:rsidRPr="00E50FC8">
              <w:rPr>
                <w:rFonts w:ascii="Verdana" w:hAnsi="Verdana"/>
                <w:bCs/>
                <w:smallCaps/>
                <w:sz w:val="20"/>
                <w:szCs w:val="20"/>
              </w:rPr>
              <w:t>Performance</w:t>
            </w:r>
            <w:r w:rsidRPr="00E50FC8">
              <w:rPr>
                <w:rFonts w:ascii="Verdana" w:hAnsi="Verdana"/>
                <w:smallCaps/>
                <w:sz w:val="20"/>
                <w:szCs w:val="20"/>
              </w:rPr>
              <w:t xml:space="preserve"> </w:t>
            </w:r>
          </w:p>
          <w:p w14:paraId="4C2B8C13" w14:textId="77BCCD30" w:rsidR="00E50FC8" w:rsidRPr="00E50FC8" w:rsidRDefault="004B5C67" w:rsidP="00E50FC8">
            <w:pPr>
              <w:pStyle w:val="Default"/>
              <w:spacing w:before="120" w:after="120"/>
              <w:rPr>
                <w:rFonts w:ascii="Verdana" w:hAnsi="Verdana"/>
                <w:sz w:val="20"/>
                <w:szCs w:val="20"/>
              </w:rPr>
            </w:pPr>
            <w:r>
              <w:rPr>
                <w:rFonts w:ascii="Verdana" w:hAnsi="Verdana"/>
                <w:color w:val="595959" w:themeColor="text1" w:themeTint="A6"/>
                <w:sz w:val="20"/>
                <w:szCs w:val="20"/>
              </w:rPr>
              <w:t xml:space="preserve">This committee will align with IH’s reporting processes for </w:t>
            </w:r>
            <w:r w:rsidR="00253C2F">
              <w:rPr>
                <w:rFonts w:ascii="Verdana" w:hAnsi="Verdana"/>
                <w:color w:val="595959" w:themeColor="text1" w:themeTint="A6"/>
                <w:sz w:val="20"/>
                <w:szCs w:val="20"/>
              </w:rPr>
              <w:t>the coordination and monitoring of the planning and delivery of the SAFE program. The ESN and MNCY Networks and thi</w:t>
            </w:r>
            <w:r w:rsidR="00145369">
              <w:rPr>
                <w:rFonts w:ascii="Verdana" w:hAnsi="Verdana"/>
                <w:color w:val="595959" w:themeColor="text1" w:themeTint="A6"/>
                <w:sz w:val="20"/>
                <w:szCs w:val="20"/>
              </w:rPr>
              <w:t>s expert advisory committee does</w:t>
            </w:r>
            <w:r w:rsidR="00253C2F">
              <w:rPr>
                <w:rFonts w:ascii="Verdana" w:hAnsi="Verdana"/>
                <w:color w:val="595959" w:themeColor="text1" w:themeTint="A6"/>
                <w:sz w:val="20"/>
                <w:szCs w:val="20"/>
              </w:rPr>
              <w:t xml:space="preserve"> not have authority and accountability </w:t>
            </w:r>
            <w:r w:rsidR="00834C7C">
              <w:rPr>
                <w:rFonts w:ascii="Verdana" w:hAnsi="Verdana"/>
                <w:color w:val="595959" w:themeColor="text1" w:themeTint="A6"/>
                <w:sz w:val="20"/>
                <w:szCs w:val="20"/>
              </w:rPr>
              <w:t xml:space="preserve">over local </w:t>
            </w:r>
            <w:r w:rsidR="00771F70">
              <w:rPr>
                <w:rFonts w:ascii="Verdana" w:hAnsi="Verdana"/>
                <w:color w:val="595959" w:themeColor="text1" w:themeTint="A6"/>
                <w:sz w:val="20"/>
                <w:szCs w:val="20"/>
              </w:rPr>
              <w:t>operations. H</w:t>
            </w:r>
            <w:r w:rsidR="00253C2F">
              <w:rPr>
                <w:rFonts w:ascii="Verdana" w:hAnsi="Verdana"/>
                <w:color w:val="595959" w:themeColor="text1" w:themeTint="A6"/>
                <w:sz w:val="20"/>
                <w:szCs w:val="20"/>
              </w:rPr>
              <w:t>owever</w:t>
            </w:r>
            <w:r w:rsidR="00834C7C">
              <w:rPr>
                <w:rFonts w:ascii="Verdana" w:hAnsi="Verdana"/>
                <w:color w:val="595959" w:themeColor="text1" w:themeTint="A6"/>
                <w:sz w:val="20"/>
                <w:szCs w:val="20"/>
              </w:rPr>
              <w:t>,</w:t>
            </w:r>
            <w:r w:rsidR="00253C2F">
              <w:rPr>
                <w:rFonts w:ascii="Verdana" w:hAnsi="Verdana"/>
                <w:color w:val="595959" w:themeColor="text1" w:themeTint="A6"/>
                <w:sz w:val="20"/>
                <w:szCs w:val="20"/>
              </w:rPr>
              <w:t xml:space="preserve"> it will consider how local initiatives may be </w:t>
            </w:r>
            <w:r w:rsidR="00253C2F" w:rsidRPr="00771F70">
              <w:rPr>
                <w:rFonts w:ascii="Verdana" w:hAnsi="Verdana"/>
                <w:color w:val="595959" w:themeColor="text1" w:themeTint="A6"/>
                <w:sz w:val="20"/>
                <w:szCs w:val="20"/>
              </w:rPr>
              <w:t>regionally</w:t>
            </w:r>
            <w:r w:rsidR="00253C2F">
              <w:rPr>
                <w:rFonts w:ascii="Verdana" w:hAnsi="Verdana"/>
                <w:color w:val="595959" w:themeColor="text1" w:themeTint="A6"/>
                <w:sz w:val="20"/>
                <w:szCs w:val="20"/>
              </w:rPr>
              <w:t xml:space="preserve"> relevant and will coordinate accordingly. </w:t>
            </w:r>
          </w:p>
          <w:p w14:paraId="3DA9908A" w14:textId="77777777" w:rsidR="00E50FC8" w:rsidRPr="00E50FC8" w:rsidRDefault="00E50FC8" w:rsidP="00E50FC8">
            <w:pPr>
              <w:pStyle w:val="Default"/>
              <w:spacing w:before="120" w:after="120"/>
              <w:rPr>
                <w:rFonts w:ascii="Verdana" w:hAnsi="Verdana"/>
                <w:smallCaps/>
                <w:sz w:val="20"/>
                <w:szCs w:val="20"/>
              </w:rPr>
            </w:pPr>
            <w:r w:rsidRPr="00E50FC8">
              <w:rPr>
                <w:rFonts w:ascii="Verdana" w:hAnsi="Verdana"/>
                <w:bCs/>
                <w:smallCaps/>
                <w:sz w:val="20"/>
                <w:szCs w:val="20"/>
              </w:rPr>
              <w:t>Structures and Communication</w:t>
            </w:r>
          </w:p>
          <w:p w14:paraId="27376B1D" w14:textId="0AC3D816" w:rsidR="00253C2F" w:rsidRDefault="00253C2F" w:rsidP="00E50FC8">
            <w:pPr>
              <w:pStyle w:val="Default"/>
              <w:spacing w:before="120" w:after="120"/>
              <w:rPr>
                <w:rFonts w:ascii="Verdana" w:hAnsi="Verdana"/>
                <w:color w:val="595959" w:themeColor="text1" w:themeTint="A6"/>
                <w:sz w:val="20"/>
                <w:szCs w:val="20"/>
              </w:rPr>
            </w:pPr>
            <w:r>
              <w:rPr>
                <w:rFonts w:ascii="Verdana" w:hAnsi="Verdana"/>
                <w:color w:val="595959" w:themeColor="text1" w:themeTint="A6"/>
                <w:sz w:val="20"/>
                <w:szCs w:val="20"/>
              </w:rPr>
              <w:t>The committee may establish sub committees as needed. In addition</w:t>
            </w:r>
            <w:r w:rsidR="00834C7C">
              <w:rPr>
                <w:rFonts w:ascii="Verdana" w:hAnsi="Verdana"/>
                <w:color w:val="595959" w:themeColor="text1" w:themeTint="A6"/>
                <w:sz w:val="20"/>
                <w:szCs w:val="20"/>
              </w:rPr>
              <w:t>,</w:t>
            </w:r>
            <w:r>
              <w:rPr>
                <w:rFonts w:ascii="Verdana" w:hAnsi="Verdana"/>
                <w:color w:val="595959" w:themeColor="text1" w:themeTint="A6"/>
                <w:sz w:val="20"/>
                <w:szCs w:val="20"/>
              </w:rPr>
              <w:t xml:space="preserve"> the ESN and MNCY Network directors, on behalf of this expert advisory committee and the project team, will report to VP Diane Shendruk on the progress of the project.  This may include providing advice and formal reports as required. </w:t>
            </w:r>
          </w:p>
          <w:p w14:paraId="02BBE52A" w14:textId="2A9C1016" w:rsidR="00E50FC8" w:rsidRPr="00253C2F" w:rsidRDefault="00253C2F" w:rsidP="00834C7C">
            <w:pPr>
              <w:pStyle w:val="Default"/>
              <w:spacing w:before="120" w:after="120"/>
              <w:rPr>
                <w:rFonts w:ascii="Verdana" w:hAnsi="Verdana"/>
                <w:color w:val="595959" w:themeColor="text1" w:themeTint="A6"/>
                <w:sz w:val="20"/>
                <w:szCs w:val="20"/>
              </w:rPr>
            </w:pPr>
            <w:r>
              <w:rPr>
                <w:rFonts w:ascii="Verdana" w:hAnsi="Verdana"/>
                <w:color w:val="595959" w:themeColor="text1" w:themeTint="A6"/>
                <w:sz w:val="20"/>
                <w:szCs w:val="20"/>
              </w:rPr>
              <w:t xml:space="preserve">The co-chairs will participate in the </w:t>
            </w:r>
            <w:r w:rsidR="00834C7C">
              <w:rPr>
                <w:rFonts w:ascii="Verdana" w:hAnsi="Verdana"/>
                <w:color w:val="595959" w:themeColor="text1" w:themeTint="A6"/>
                <w:sz w:val="20"/>
                <w:szCs w:val="20"/>
              </w:rPr>
              <w:t>MOH</w:t>
            </w:r>
            <w:r>
              <w:rPr>
                <w:rFonts w:ascii="Verdana" w:hAnsi="Verdana"/>
                <w:color w:val="595959" w:themeColor="text1" w:themeTint="A6"/>
                <w:sz w:val="20"/>
                <w:szCs w:val="20"/>
              </w:rPr>
              <w:t xml:space="preserve"> meetings in respect to SAFE services and will share the learnings with the expert advisory committee to help guide future program priorities. </w:t>
            </w:r>
          </w:p>
        </w:tc>
      </w:tr>
      <w:tr w:rsidR="00E50FC8" w:rsidRPr="003D61A5" w14:paraId="0E8FD6BD" w14:textId="77777777" w:rsidTr="00E70A64">
        <w:tc>
          <w:tcPr>
            <w:tcW w:w="2217" w:type="dxa"/>
            <w:shd w:val="clear" w:color="auto" w:fill="auto"/>
          </w:tcPr>
          <w:p w14:paraId="56047AAB" w14:textId="77777777" w:rsidR="00E50FC8" w:rsidRPr="00E50FC8" w:rsidRDefault="00E50FC8" w:rsidP="00E50FC8">
            <w:pPr>
              <w:pStyle w:val="Default"/>
              <w:rPr>
                <w:rFonts w:ascii="Verdana" w:hAnsi="Verdana"/>
                <w:smallCaps/>
                <w:sz w:val="20"/>
              </w:rPr>
            </w:pPr>
            <w:bookmarkStart w:id="9" w:name="Date_Approved"/>
            <w:r w:rsidRPr="00E50FC8">
              <w:rPr>
                <w:rFonts w:ascii="Verdana" w:hAnsi="Verdana"/>
                <w:bCs/>
                <w:smallCaps/>
                <w:sz w:val="20"/>
              </w:rPr>
              <w:lastRenderedPageBreak/>
              <w:t xml:space="preserve">Date Approved </w:t>
            </w:r>
          </w:p>
          <w:bookmarkEnd w:id="9"/>
          <w:p w14:paraId="28A174F2" w14:textId="77777777" w:rsidR="00E50FC8" w:rsidRPr="00E50FC8" w:rsidRDefault="00E50FC8" w:rsidP="00E50FC8">
            <w:pPr>
              <w:jc w:val="center"/>
              <w:rPr>
                <w:rFonts w:ascii="Verdana" w:hAnsi="Verdana"/>
                <w:smallCaps/>
              </w:rPr>
            </w:pPr>
          </w:p>
        </w:tc>
        <w:tc>
          <w:tcPr>
            <w:tcW w:w="7853" w:type="dxa"/>
            <w:shd w:val="clear" w:color="auto" w:fill="auto"/>
          </w:tcPr>
          <w:p w14:paraId="10045C83" w14:textId="77777777" w:rsidR="00E50FC8" w:rsidRPr="00E50FC8" w:rsidRDefault="00E50FC8" w:rsidP="00E50FC8">
            <w:pPr>
              <w:spacing w:before="120" w:after="120"/>
              <w:rPr>
                <w:rFonts w:ascii="Verdana" w:hAnsi="Verdana"/>
                <w:smallCaps/>
                <w:szCs w:val="20"/>
              </w:rPr>
            </w:pPr>
          </w:p>
          <w:p w14:paraId="66C0D3F2" w14:textId="04E2E8A9" w:rsidR="00E50FC8" w:rsidRPr="00E50FC8" w:rsidRDefault="00E50FC8" w:rsidP="00E50FC8">
            <w:pPr>
              <w:spacing w:before="120" w:after="120"/>
              <w:rPr>
                <w:rFonts w:ascii="Verdana" w:hAnsi="Verdana"/>
                <w:szCs w:val="20"/>
              </w:rPr>
            </w:pPr>
          </w:p>
        </w:tc>
      </w:tr>
      <w:tr w:rsidR="00E50FC8" w:rsidRPr="003D61A5" w14:paraId="539367EB" w14:textId="77777777" w:rsidTr="00E70A64">
        <w:tc>
          <w:tcPr>
            <w:tcW w:w="2217" w:type="dxa"/>
            <w:shd w:val="clear" w:color="auto" w:fill="auto"/>
          </w:tcPr>
          <w:p w14:paraId="295C5FA6" w14:textId="77777777" w:rsidR="00E50FC8" w:rsidRPr="00E50FC8" w:rsidRDefault="00E50FC8" w:rsidP="00E50FC8">
            <w:pPr>
              <w:pStyle w:val="Default"/>
              <w:rPr>
                <w:rFonts w:ascii="Verdana" w:hAnsi="Verdana"/>
                <w:smallCaps/>
                <w:sz w:val="20"/>
              </w:rPr>
            </w:pPr>
            <w:bookmarkStart w:id="10" w:name="Review_Date"/>
            <w:r w:rsidRPr="00E50FC8">
              <w:rPr>
                <w:rFonts w:ascii="Verdana" w:hAnsi="Verdana"/>
                <w:bCs/>
                <w:smallCaps/>
                <w:sz w:val="20"/>
              </w:rPr>
              <w:t xml:space="preserve">Review Date </w:t>
            </w:r>
          </w:p>
          <w:bookmarkEnd w:id="10"/>
          <w:p w14:paraId="53EB8E21" w14:textId="77777777" w:rsidR="00E50FC8" w:rsidRPr="00E50FC8" w:rsidRDefault="00E50FC8" w:rsidP="00E50FC8">
            <w:pPr>
              <w:pStyle w:val="Default"/>
              <w:rPr>
                <w:rFonts w:ascii="Verdana" w:hAnsi="Verdana"/>
                <w:bCs/>
                <w:smallCaps/>
                <w:sz w:val="20"/>
              </w:rPr>
            </w:pPr>
          </w:p>
        </w:tc>
        <w:tc>
          <w:tcPr>
            <w:tcW w:w="7853" w:type="dxa"/>
            <w:shd w:val="clear" w:color="auto" w:fill="auto"/>
          </w:tcPr>
          <w:p w14:paraId="57CE38CC" w14:textId="5DD01204" w:rsidR="00E50FC8" w:rsidRPr="00E50FC8" w:rsidRDefault="00253C2F" w:rsidP="00E50FC8">
            <w:pPr>
              <w:spacing w:before="120" w:after="120"/>
              <w:rPr>
                <w:rFonts w:ascii="Verdana" w:hAnsi="Verdana"/>
                <w:szCs w:val="20"/>
              </w:rPr>
            </w:pPr>
            <w:r>
              <w:rPr>
                <w:rFonts w:ascii="Verdana" w:hAnsi="Verdana"/>
                <w:color w:val="595959" w:themeColor="text1" w:themeTint="A6"/>
                <w:szCs w:val="20"/>
              </w:rPr>
              <w:t xml:space="preserve">1 year from approval </w:t>
            </w:r>
          </w:p>
          <w:p w14:paraId="0EB868A6" w14:textId="77777777" w:rsidR="00E50FC8" w:rsidRPr="00E50FC8" w:rsidRDefault="00E50FC8" w:rsidP="00E50FC8">
            <w:pPr>
              <w:spacing w:before="120" w:after="120"/>
              <w:rPr>
                <w:rFonts w:ascii="Verdana" w:hAnsi="Verdana"/>
                <w:smallCaps/>
                <w:szCs w:val="20"/>
              </w:rPr>
            </w:pPr>
          </w:p>
        </w:tc>
      </w:tr>
      <w:tr w:rsidR="00E50FC8" w:rsidRPr="003D61A5" w14:paraId="292C93B0" w14:textId="77777777" w:rsidTr="00E70A64">
        <w:tc>
          <w:tcPr>
            <w:tcW w:w="2217" w:type="dxa"/>
            <w:shd w:val="clear" w:color="auto" w:fill="auto"/>
          </w:tcPr>
          <w:p w14:paraId="2E2A87E7" w14:textId="77777777" w:rsidR="00E50FC8" w:rsidRPr="00E50FC8" w:rsidRDefault="00E50FC8" w:rsidP="00E50FC8">
            <w:pPr>
              <w:pStyle w:val="Default"/>
              <w:rPr>
                <w:rFonts w:ascii="Verdana" w:hAnsi="Verdana"/>
                <w:bCs/>
                <w:smallCaps/>
                <w:sz w:val="20"/>
              </w:rPr>
            </w:pPr>
            <w:bookmarkStart w:id="11" w:name="Direct_and_Indirect_Linkages"/>
            <w:r w:rsidRPr="00E50FC8">
              <w:rPr>
                <w:rFonts w:ascii="Verdana" w:hAnsi="Verdana"/>
                <w:bCs/>
                <w:smallCaps/>
                <w:sz w:val="20"/>
              </w:rPr>
              <w:t xml:space="preserve">Direct and Indirect Linkages </w:t>
            </w:r>
            <w:bookmarkEnd w:id="11"/>
          </w:p>
          <w:p w14:paraId="0F2E2991" w14:textId="77777777" w:rsidR="00E50FC8" w:rsidRPr="00E50FC8" w:rsidRDefault="00E50FC8" w:rsidP="00E50FC8">
            <w:pPr>
              <w:pStyle w:val="Default"/>
              <w:rPr>
                <w:rFonts w:ascii="Verdana" w:hAnsi="Verdana"/>
                <w:bCs/>
                <w:smallCaps/>
                <w:sz w:val="20"/>
              </w:rPr>
            </w:pPr>
          </w:p>
        </w:tc>
        <w:tc>
          <w:tcPr>
            <w:tcW w:w="7853" w:type="dxa"/>
            <w:shd w:val="clear" w:color="auto" w:fill="auto"/>
          </w:tcPr>
          <w:p w14:paraId="2ECDA6B5" w14:textId="64171CA3" w:rsidR="00253C2F" w:rsidRDefault="00253C2F" w:rsidP="00E50FC8">
            <w:pPr>
              <w:spacing w:before="120" w:after="120"/>
              <w:rPr>
                <w:rFonts w:ascii="Verdana" w:hAnsi="Verdana"/>
                <w:color w:val="595959" w:themeColor="text1" w:themeTint="A6"/>
                <w:szCs w:val="20"/>
              </w:rPr>
            </w:pPr>
            <w:r>
              <w:rPr>
                <w:rFonts w:ascii="Verdana" w:hAnsi="Verdana"/>
                <w:color w:val="595959" w:themeColor="text1" w:themeTint="A6"/>
                <w:szCs w:val="20"/>
              </w:rPr>
              <w:t>Strategic Risk Management Council</w:t>
            </w:r>
          </w:p>
          <w:p w14:paraId="65B2760D" w14:textId="0DDBEA5E" w:rsidR="0062435E" w:rsidRDefault="0062435E" w:rsidP="00E50FC8">
            <w:pPr>
              <w:spacing w:before="120" w:after="120"/>
              <w:rPr>
                <w:rFonts w:ascii="Verdana" w:hAnsi="Verdana"/>
                <w:color w:val="595959" w:themeColor="text1" w:themeTint="A6"/>
                <w:szCs w:val="20"/>
              </w:rPr>
            </w:pPr>
            <w:r>
              <w:rPr>
                <w:rFonts w:ascii="Verdana" w:hAnsi="Verdana"/>
                <w:color w:val="595959" w:themeColor="text1" w:themeTint="A6"/>
                <w:szCs w:val="20"/>
              </w:rPr>
              <w:t>Clinical Operations Leadership Table (COLT)</w:t>
            </w:r>
          </w:p>
          <w:p w14:paraId="71C00D06" w14:textId="2B780B3B" w:rsidR="00253C2F" w:rsidRDefault="0062435E" w:rsidP="00E50FC8">
            <w:pPr>
              <w:spacing w:before="120" w:after="120"/>
              <w:rPr>
                <w:rFonts w:ascii="Verdana" w:hAnsi="Verdana"/>
                <w:color w:val="595959" w:themeColor="text1" w:themeTint="A6"/>
                <w:szCs w:val="20"/>
              </w:rPr>
            </w:pPr>
            <w:r>
              <w:rPr>
                <w:rFonts w:ascii="Verdana" w:hAnsi="Verdana"/>
                <w:color w:val="595959" w:themeColor="text1" w:themeTint="A6"/>
                <w:szCs w:val="20"/>
              </w:rPr>
              <w:t>Quality Management Committee</w:t>
            </w:r>
          </w:p>
          <w:p w14:paraId="78FD5180" w14:textId="17A589E9" w:rsidR="00E50FC8" w:rsidRPr="00E50FC8" w:rsidRDefault="00253C2F" w:rsidP="00E50FC8">
            <w:pPr>
              <w:spacing w:before="120" w:after="120"/>
              <w:rPr>
                <w:rFonts w:ascii="Verdana" w:hAnsi="Verdana"/>
                <w:color w:val="595959" w:themeColor="text1" w:themeTint="A6"/>
                <w:szCs w:val="20"/>
              </w:rPr>
            </w:pPr>
            <w:r>
              <w:rPr>
                <w:rFonts w:ascii="Verdana" w:hAnsi="Verdana"/>
                <w:color w:val="595959" w:themeColor="text1" w:themeTint="A6"/>
                <w:szCs w:val="20"/>
              </w:rPr>
              <w:t xml:space="preserve">Senior Executive Team </w:t>
            </w:r>
          </w:p>
        </w:tc>
      </w:tr>
    </w:tbl>
    <w:p w14:paraId="433EB103" w14:textId="5C64D4D1" w:rsidR="00F04210" w:rsidRPr="003D61A5" w:rsidRDefault="00F04210" w:rsidP="0081510A">
      <w:pPr>
        <w:rPr>
          <w:rFonts w:ascii="Verdana" w:hAnsi="Verdana"/>
          <w:color w:val="000000" w:themeColor="text1"/>
          <w:szCs w:val="22"/>
        </w:rPr>
      </w:pPr>
    </w:p>
    <w:sectPr w:rsidR="00F04210" w:rsidRPr="003D61A5" w:rsidSect="00391086">
      <w:headerReference w:type="default" r:id="rId12"/>
      <w:footerReference w:type="default" r:id="rId13"/>
      <w:pgSz w:w="12240" w:h="15840"/>
      <w:pgMar w:top="1080" w:right="1041" w:bottom="1843"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B1BF" w14:textId="77777777" w:rsidR="00F919AE" w:rsidRDefault="00F919AE" w:rsidP="001B2CF5">
      <w:r>
        <w:separator/>
      </w:r>
    </w:p>
  </w:endnote>
  <w:endnote w:type="continuationSeparator" w:id="0">
    <w:p w14:paraId="2F3C1CE2" w14:textId="77777777" w:rsidR="00F919AE" w:rsidRDefault="00F919AE" w:rsidP="001B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5AEF" w14:textId="4C808351" w:rsidR="00E50FC8" w:rsidRPr="00E50FC8" w:rsidRDefault="00E50FC8" w:rsidP="00E50FC8">
    <w:pPr>
      <w:autoSpaceDE w:val="0"/>
      <w:autoSpaceDN w:val="0"/>
      <w:rPr>
        <w:rFonts w:ascii="Verdana" w:hAnsi="Verdana"/>
        <w:b/>
        <w:bCs/>
        <w:color w:val="005CA0"/>
        <w:sz w:val="13"/>
        <w:szCs w:val="26"/>
        <w:lang w:val="en-CA"/>
      </w:rPr>
    </w:pPr>
    <w:r w:rsidRPr="00E50FC8">
      <w:rPr>
        <w:rFonts w:ascii="Georgia" w:eastAsia="Calibri" w:hAnsi="Georgia"/>
        <w:noProof/>
        <w:color w:val="000000"/>
        <w:sz w:val="18"/>
        <w:lang w:val="en-CA" w:eastAsia="en-CA"/>
      </w:rPr>
      <w:drawing>
        <wp:anchor distT="0" distB="0" distL="114300" distR="114300" simplePos="0" relativeHeight="251660288" behindDoc="1" locked="0" layoutInCell="1" allowOverlap="1" wp14:anchorId="5AB3CD28" wp14:editId="6C23EB30">
          <wp:simplePos x="0" y="0"/>
          <wp:positionH relativeFrom="page">
            <wp:posOffset>0</wp:posOffset>
          </wp:positionH>
          <wp:positionV relativeFrom="page">
            <wp:posOffset>9107170</wp:posOffset>
          </wp:positionV>
          <wp:extent cx="7863840" cy="8681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863840" cy="86813"/>
                  </a:xfrm>
                  <a:prstGeom prst="rect">
                    <a:avLst/>
                  </a:prstGeom>
                </pic:spPr>
              </pic:pic>
            </a:graphicData>
          </a:graphic>
          <wp14:sizeRelH relativeFrom="page">
            <wp14:pctWidth>0</wp14:pctWidth>
          </wp14:sizeRelH>
          <wp14:sizeRelV relativeFrom="page">
            <wp14:pctHeight>0</wp14:pctHeight>
          </wp14:sizeRelV>
        </wp:anchor>
      </w:drawing>
    </w:r>
  </w:p>
  <w:p w14:paraId="19D35014" w14:textId="684C8A08" w:rsidR="00E50FC8" w:rsidRPr="001A2FBD" w:rsidRDefault="00E50FC8" w:rsidP="00391086">
    <w:pPr>
      <w:autoSpaceDE w:val="0"/>
      <w:autoSpaceDN w:val="0"/>
      <w:spacing w:before="240"/>
      <w:ind w:right="54"/>
      <w:rPr>
        <w:rFonts w:ascii="Verdana" w:hAnsi="Verdana"/>
        <w:bCs/>
        <w:color w:val="2F4F88"/>
        <w:sz w:val="13"/>
        <w:szCs w:val="26"/>
        <w:lang w:val="en-CA"/>
      </w:rPr>
    </w:pPr>
    <w:r w:rsidRPr="001A2FBD">
      <w:rPr>
        <w:rFonts w:ascii="Verdana" w:hAnsi="Verdana"/>
        <w:bCs/>
        <w:color w:val="2F4F88"/>
        <w:sz w:val="13"/>
        <w:szCs w:val="26"/>
        <w:lang w:val="en-CA"/>
      </w:rPr>
      <w:t>We recognize and acknowledge that we are collectively gathered on the traditional, ancestral, and unceded territories of the seve</w:t>
    </w:r>
    <w:r w:rsidR="00634BB2" w:rsidRPr="001A2FBD">
      <w:rPr>
        <w:rFonts w:ascii="Verdana" w:hAnsi="Verdana"/>
        <w:bCs/>
        <w:color w:val="2F4F88"/>
        <w:sz w:val="13"/>
        <w:szCs w:val="26"/>
        <w:lang w:val="en-CA"/>
      </w:rPr>
      <w:t>n Interior Region First Nations</w:t>
    </w:r>
    <w:r w:rsidRPr="001A2FBD">
      <w:rPr>
        <w:rFonts w:ascii="Verdana" w:hAnsi="Verdana"/>
        <w:bCs/>
        <w:color w:val="2F4F88"/>
        <w:sz w:val="13"/>
        <w:szCs w:val="26"/>
        <w:lang w:val="en-CA"/>
      </w:rPr>
      <w:t>. This region is also home to 15 Chartered Métis Communities. It is with humility that we continue to strengthen our relationships with First Nation, Métis, and Inuit peoples across the Interior.</w:t>
    </w:r>
  </w:p>
  <w:p w14:paraId="7846493B" w14:textId="77777777" w:rsidR="00E50FC8" w:rsidRPr="00E50FC8" w:rsidRDefault="00E50FC8" w:rsidP="007C3210">
    <w:pPr>
      <w:pStyle w:val="Footer"/>
      <w:jc w:val="right"/>
      <w:rPr>
        <w:rFonts w:ascii="Gill Sans MT" w:hAnsi="Gill Sans MT"/>
        <w:sz w:val="8"/>
      </w:rPr>
    </w:pPr>
  </w:p>
  <w:p w14:paraId="30DBBF34" w14:textId="1B77D64A" w:rsidR="007C3210" w:rsidRPr="00E50FC8" w:rsidRDefault="007C3210" w:rsidP="007C3210">
    <w:pPr>
      <w:pStyle w:val="Footer"/>
      <w:jc w:val="right"/>
      <w:rPr>
        <w:rFonts w:ascii="Verdana" w:hAnsi="Verdana"/>
        <w:sz w:val="18"/>
      </w:rPr>
    </w:pPr>
    <w:r w:rsidRPr="00E50FC8">
      <w:rPr>
        <w:rFonts w:ascii="Verdana" w:hAnsi="Verdana"/>
        <w:sz w:val="18"/>
      </w:rPr>
      <w:t xml:space="preserve">Page </w:t>
    </w:r>
    <w:r w:rsidRPr="00E50FC8">
      <w:rPr>
        <w:rFonts w:ascii="Verdana" w:hAnsi="Verdana"/>
        <w:b/>
        <w:bCs/>
        <w:sz w:val="22"/>
      </w:rPr>
      <w:fldChar w:fldCharType="begin"/>
    </w:r>
    <w:r w:rsidRPr="00E50FC8">
      <w:rPr>
        <w:rFonts w:ascii="Verdana" w:hAnsi="Verdana"/>
        <w:b/>
        <w:bCs/>
        <w:sz w:val="18"/>
      </w:rPr>
      <w:instrText xml:space="preserve"> PAGE </w:instrText>
    </w:r>
    <w:r w:rsidRPr="00E50FC8">
      <w:rPr>
        <w:rFonts w:ascii="Verdana" w:hAnsi="Verdana"/>
        <w:b/>
        <w:bCs/>
        <w:sz w:val="22"/>
      </w:rPr>
      <w:fldChar w:fldCharType="separate"/>
    </w:r>
    <w:r w:rsidR="00771F70">
      <w:rPr>
        <w:rFonts w:ascii="Verdana" w:hAnsi="Verdana"/>
        <w:b/>
        <w:bCs/>
        <w:noProof/>
        <w:sz w:val="18"/>
      </w:rPr>
      <w:t>4</w:t>
    </w:r>
    <w:r w:rsidRPr="00E50FC8">
      <w:rPr>
        <w:rFonts w:ascii="Verdana" w:hAnsi="Verdana"/>
        <w:b/>
        <w:bCs/>
        <w:sz w:val="22"/>
      </w:rPr>
      <w:fldChar w:fldCharType="end"/>
    </w:r>
    <w:r w:rsidRPr="00E50FC8">
      <w:rPr>
        <w:rFonts w:ascii="Verdana" w:hAnsi="Verdana"/>
        <w:sz w:val="18"/>
      </w:rPr>
      <w:t xml:space="preserve"> of </w:t>
    </w:r>
    <w:r w:rsidRPr="00E50FC8">
      <w:rPr>
        <w:rFonts w:ascii="Verdana" w:hAnsi="Verdana"/>
        <w:b/>
        <w:bCs/>
        <w:sz w:val="22"/>
      </w:rPr>
      <w:fldChar w:fldCharType="begin"/>
    </w:r>
    <w:r w:rsidRPr="00E50FC8">
      <w:rPr>
        <w:rFonts w:ascii="Verdana" w:hAnsi="Verdana"/>
        <w:b/>
        <w:bCs/>
        <w:sz w:val="18"/>
      </w:rPr>
      <w:instrText xml:space="preserve"> NUMPAGES  </w:instrText>
    </w:r>
    <w:r w:rsidRPr="00E50FC8">
      <w:rPr>
        <w:rFonts w:ascii="Verdana" w:hAnsi="Verdana"/>
        <w:b/>
        <w:bCs/>
        <w:sz w:val="22"/>
      </w:rPr>
      <w:fldChar w:fldCharType="separate"/>
    </w:r>
    <w:r w:rsidR="00771F70">
      <w:rPr>
        <w:rFonts w:ascii="Verdana" w:hAnsi="Verdana"/>
        <w:b/>
        <w:bCs/>
        <w:noProof/>
        <w:sz w:val="18"/>
      </w:rPr>
      <w:t>4</w:t>
    </w:r>
    <w:r w:rsidRPr="00E50FC8">
      <w:rPr>
        <w:rFonts w:ascii="Verdana" w:hAnsi="Verdana"/>
        <w:b/>
        <w:bCs/>
        <w:sz w:val="22"/>
      </w:rPr>
      <w:fldChar w:fldCharType="end"/>
    </w:r>
  </w:p>
  <w:p w14:paraId="116E5FDB" w14:textId="77777777" w:rsidR="00E20BA5" w:rsidRDefault="00E20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8D38" w14:textId="77777777" w:rsidR="00F919AE" w:rsidRDefault="00F919AE" w:rsidP="001B2CF5">
      <w:r>
        <w:separator/>
      </w:r>
    </w:p>
  </w:footnote>
  <w:footnote w:type="continuationSeparator" w:id="0">
    <w:p w14:paraId="226F3E33" w14:textId="77777777" w:rsidR="00F919AE" w:rsidRDefault="00F919AE" w:rsidP="001B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717"/>
    </w:tblGrid>
    <w:tr w:rsidR="00E20BA5" w14:paraId="1D92BBC6" w14:textId="77777777" w:rsidTr="00A61BBB">
      <w:tc>
        <w:tcPr>
          <w:tcW w:w="3402" w:type="dxa"/>
        </w:tcPr>
        <w:p w14:paraId="36F07403" w14:textId="14CE8A72" w:rsidR="00E20BA5" w:rsidRDefault="003D61A5" w:rsidP="002A67AB">
          <w:pPr>
            <w:pStyle w:val="Title"/>
            <w:jc w:val="left"/>
            <w:rPr>
              <w:rFonts w:ascii="Gill Sans MT" w:hAnsi="Gill Sans MT"/>
              <w:b/>
              <w:smallCaps/>
              <w:noProof/>
              <w:sz w:val="18"/>
              <w:szCs w:val="18"/>
            </w:rPr>
          </w:pPr>
          <w:r>
            <w:rPr>
              <w:rFonts w:ascii="Gill Sans MT" w:hAnsi="Gill Sans MT"/>
              <w:b/>
              <w:smallCaps/>
              <w:noProof/>
              <w:sz w:val="18"/>
              <w:szCs w:val="18"/>
              <w:lang w:val="en-CA" w:eastAsia="en-CA"/>
            </w:rPr>
            <w:drawing>
              <wp:inline distT="0" distB="0" distL="0" distR="0" wp14:anchorId="40BB0213" wp14:editId="76EDF8CD">
                <wp:extent cx="1944806" cy="402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245" cy="412075"/>
                        </a:xfrm>
                        <a:prstGeom prst="rect">
                          <a:avLst/>
                        </a:prstGeom>
                        <a:noFill/>
                      </pic:spPr>
                    </pic:pic>
                  </a:graphicData>
                </a:graphic>
              </wp:inline>
            </w:drawing>
          </w:r>
        </w:p>
      </w:tc>
      <w:tc>
        <w:tcPr>
          <w:tcW w:w="6717" w:type="dxa"/>
        </w:tcPr>
        <w:p w14:paraId="419F695D" w14:textId="6905E539" w:rsidR="00E20BA5" w:rsidRPr="00391086" w:rsidRDefault="00A61BBB" w:rsidP="00E50FC8">
          <w:pPr>
            <w:pStyle w:val="Headline"/>
            <w:spacing w:line="240" w:lineRule="auto"/>
            <w:jc w:val="right"/>
            <w:rPr>
              <w:color w:val="00C1D5"/>
              <w:sz w:val="36"/>
              <w:lang w:val="en-US"/>
            </w:rPr>
          </w:pPr>
          <w:r>
            <w:rPr>
              <w:color w:val="00C1D5"/>
              <w:sz w:val="36"/>
              <w:lang w:val="en-US"/>
            </w:rPr>
            <w:t>Expert Advisory Committee  for Sexual Assault Forensic Examination (SAFE) Program</w:t>
          </w:r>
        </w:p>
        <w:p w14:paraId="1B99D932" w14:textId="2F2F4E3F" w:rsidR="00E20BA5" w:rsidRPr="00391086" w:rsidRDefault="00391086" w:rsidP="00E50FC8">
          <w:pPr>
            <w:pStyle w:val="Headline"/>
            <w:spacing w:line="240" w:lineRule="auto"/>
            <w:jc w:val="right"/>
            <w:rPr>
              <w:color w:val="00C1D5"/>
              <w:sz w:val="36"/>
              <w:lang w:val="en-US"/>
            </w:rPr>
          </w:pPr>
          <w:r w:rsidRPr="00391086">
            <w:rPr>
              <w:color w:val="00C1D5"/>
              <w:sz w:val="36"/>
              <w:lang w:val="en-US"/>
            </w:rPr>
            <w:t>TERMS OF REFERENCE</w:t>
          </w:r>
        </w:p>
        <w:p w14:paraId="782E26C8" w14:textId="77777777" w:rsidR="00E20BA5" w:rsidRDefault="00E20BA5" w:rsidP="002A67AB">
          <w:pPr>
            <w:pStyle w:val="Title"/>
            <w:rPr>
              <w:rFonts w:ascii="Gill Sans MT" w:hAnsi="Gill Sans MT"/>
              <w:b/>
              <w:smallCaps/>
              <w:noProof/>
              <w:sz w:val="18"/>
              <w:szCs w:val="18"/>
            </w:rPr>
          </w:pPr>
        </w:p>
      </w:tc>
    </w:tr>
  </w:tbl>
  <w:p w14:paraId="213A4AD0" w14:textId="77777777" w:rsidR="00E20BA5" w:rsidRPr="002A67AB" w:rsidRDefault="00E20BA5" w:rsidP="002A67AB">
    <w:pPr>
      <w:pStyle w:val="Title"/>
      <w:jc w:val="left"/>
      <w:rPr>
        <w:sz w:val="24"/>
      </w:rPr>
    </w:pPr>
    <w:r>
      <w:rPr>
        <w:rFonts w:ascii="Gill Sans MT" w:hAnsi="Gill Sans MT"/>
        <w:b/>
        <w:smallCaps/>
        <w:noProof/>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0B207C88"/>
    <w:multiLevelType w:val="hybridMultilevel"/>
    <w:tmpl w:val="620CC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61066A"/>
    <w:multiLevelType w:val="hybridMultilevel"/>
    <w:tmpl w:val="AD16C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120E8C"/>
    <w:multiLevelType w:val="hybridMultilevel"/>
    <w:tmpl w:val="88C46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CA58DE"/>
    <w:multiLevelType w:val="hybridMultilevel"/>
    <w:tmpl w:val="ED403C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E438F3"/>
    <w:multiLevelType w:val="hybridMultilevel"/>
    <w:tmpl w:val="E06C1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390D4D"/>
    <w:multiLevelType w:val="hybridMultilevel"/>
    <w:tmpl w:val="EDAC81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895FBC"/>
    <w:multiLevelType w:val="hybridMultilevel"/>
    <w:tmpl w:val="5F20CB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ED702F"/>
    <w:multiLevelType w:val="hybridMultilevel"/>
    <w:tmpl w:val="579EB2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6216A"/>
    <w:multiLevelType w:val="hybridMultilevel"/>
    <w:tmpl w:val="0C28C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CF22D5"/>
    <w:multiLevelType w:val="hybridMultilevel"/>
    <w:tmpl w:val="D6CA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2115E"/>
    <w:multiLevelType w:val="hybridMultilevel"/>
    <w:tmpl w:val="F6361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2F3A74"/>
    <w:multiLevelType w:val="hybridMultilevel"/>
    <w:tmpl w:val="668A2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8638FF"/>
    <w:multiLevelType w:val="hybridMultilevel"/>
    <w:tmpl w:val="F57A07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272B9"/>
    <w:multiLevelType w:val="hybridMultilevel"/>
    <w:tmpl w:val="DFF08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AA73F2"/>
    <w:multiLevelType w:val="hybridMultilevel"/>
    <w:tmpl w:val="B8205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4A677F"/>
    <w:multiLevelType w:val="hybridMultilevel"/>
    <w:tmpl w:val="34004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612F34"/>
    <w:multiLevelType w:val="hybridMultilevel"/>
    <w:tmpl w:val="0A166B0A"/>
    <w:lvl w:ilvl="0" w:tplc="36302AE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740750">
    <w:abstractNumId w:val="4"/>
  </w:num>
  <w:num w:numId="2" w16cid:durableId="1953705847">
    <w:abstractNumId w:val="3"/>
  </w:num>
  <w:num w:numId="3" w16cid:durableId="1419865689">
    <w:abstractNumId w:val="2"/>
  </w:num>
  <w:num w:numId="4" w16cid:durableId="759176435">
    <w:abstractNumId w:val="1"/>
  </w:num>
  <w:num w:numId="5" w16cid:durableId="194970305">
    <w:abstractNumId w:val="0"/>
  </w:num>
  <w:num w:numId="6" w16cid:durableId="1933393829">
    <w:abstractNumId w:val="12"/>
  </w:num>
  <w:num w:numId="7" w16cid:durableId="623736504">
    <w:abstractNumId w:val="17"/>
  </w:num>
  <w:num w:numId="8" w16cid:durableId="1577395257">
    <w:abstractNumId w:val="21"/>
  </w:num>
  <w:num w:numId="9" w16cid:durableId="1021201112">
    <w:abstractNumId w:val="14"/>
  </w:num>
  <w:num w:numId="10" w16cid:durableId="1631478876">
    <w:abstractNumId w:val="20"/>
  </w:num>
  <w:num w:numId="11" w16cid:durableId="1205630720">
    <w:abstractNumId w:val="11"/>
  </w:num>
  <w:num w:numId="12" w16cid:durableId="1664163757">
    <w:abstractNumId w:val="10"/>
  </w:num>
  <w:num w:numId="13" w16cid:durableId="411774746">
    <w:abstractNumId w:val="8"/>
  </w:num>
  <w:num w:numId="14" w16cid:durableId="2064719415">
    <w:abstractNumId w:val="16"/>
  </w:num>
  <w:num w:numId="15" w16cid:durableId="751127822">
    <w:abstractNumId w:val="6"/>
  </w:num>
  <w:num w:numId="16" w16cid:durableId="608466616">
    <w:abstractNumId w:val="19"/>
  </w:num>
  <w:num w:numId="17" w16cid:durableId="87042486">
    <w:abstractNumId w:val="9"/>
  </w:num>
  <w:num w:numId="18" w16cid:durableId="1691755110">
    <w:abstractNumId w:val="18"/>
  </w:num>
  <w:num w:numId="19" w16cid:durableId="376245219">
    <w:abstractNumId w:val="13"/>
  </w:num>
  <w:num w:numId="20" w16cid:durableId="1467577063">
    <w:abstractNumId w:val="5"/>
  </w:num>
  <w:num w:numId="21" w16cid:durableId="1428891157">
    <w:abstractNumId w:val="15"/>
  </w:num>
  <w:num w:numId="22" w16cid:durableId="2261852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C4"/>
    <w:rsid w:val="0003031B"/>
    <w:rsid w:val="00050BC9"/>
    <w:rsid w:val="000512B8"/>
    <w:rsid w:val="00084EB9"/>
    <w:rsid w:val="00085885"/>
    <w:rsid w:val="00085CE8"/>
    <w:rsid w:val="0009708B"/>
    <w:rsid w:val="00105CCC"/>
    <w:rsid w:val="0011241B"/>
    <w:rsid w:val="001343A9"/>
    <w:rsid w:val="00145369"/>
    <w:rsid w:val="001528A1"/>
    <w:rsid w:val="00185CD0"/>
    <w:rsid w:val="00196AEF"/>
    <w:rsid w:val="001A2FBD"/>
    <w:rsid w:val="001A3178"/>
    <w:rsid w:val="001B2CF5"/>
    <w:rsid w:val="001E267D"/>
    <w:rsid w:val="00215FB1"/>
    <w:rsid w:val="002350AD"/>
    <w:rsid w:val="00253C2F"/>
    <w:rsid w:val="002640B4"/>
    <w:rsid w:val="00266336"/>
    <w:rsid w:val="00281085"/>
    <w:rsid w:val="00287B62"/>
    <w:rsid w:val="002A67AB"/>
    <w:rsid w:val="00333750"/>
    <w:rsid w:val="003454FD"/>
    <w:rsid w:val="003467E2"/>
    <w:rsid w:val="00360BD3"/>
    <w:rsid w:val="00362A76"/>
    <w:rsid w:val="00391086"/>
    <w:rsid w:val="003A7C0F"/>
    <w:rsid w:val="003B44C1"/>
    <w:rsid w:val="003C38FB"/>
    <w:rsid w:val="003D61A5"/>
    <w:rsid w:val="003E2C2D"/>
    <w:rsid w:val="00436420"/>
    <w:rsid w:val="0044146C"/>
    <w:rsid w:val="00452E01"/>
    <w:rsid w:val="00470EF6"/>
    <w:rsid w:val="00495C4F"/>
    <w:rsid w:val="004B5C67"/>
    <w:rsid w:val="004F2672"/>
    <w:rsid w:val="00511F72"/>
    <w:rsid w:val="0054569A"/>
    <w:rsid w:val="00547081"/>
    <w:rsid w:val="00555AC4"/>
    <w:rsid w:val="00565EFF"/>
    <w:rsid w:val="00573142"/>
    <w:rsid w:val="005738D1"/>
    <w:rsid w:val="00593FC3"/>
    <w:rsid w:val="005A4658"/>
    <w:rsid w:val="005B27E3"/>
    <w:rsid w:val="005B707B"/>
    <w:rsid w:val="00621080"/>
    <w:rsid w:val="0062435E"/>
    <w:rsid w:val="00634BB2"/>
    <w:rsid w:val="00680EAB"/>
    <w:rsid w:val="006946F5"/>
    <w:rsid w:val="006A2911"/>
    <w:rsid w:val="006A6272"/>
    <w:rsid w:val="006B0E78"/>
    <w:rsid w:val="007072C4"/>
    <w:rsid w:val="007225D5"/>
    <w:rsid w:val="00723AD1"/>
    <w:rsid w:val="007311D1"/>
    <w:rsid w:val="00736496"/>
    <w:rsid w:val="00746A66"/>
    <w:rsid w:val="0076295C"/>
    <w:rsid w:val="00771F70"/>
    <w:rsid w:val="00783C35"/>
    <w:rsid w:val="007872A5"/>
    <w:rsid w:val="007C3210"/>
    <w:rsid w:val="007C645B"/>
    <w:rsid w:val="007F0CA9"/>
    <w:rsid w:val="007F6EBE"/>
    <w:rsid w:val="00800227"/>
    <w:rsid w:val="00800420"/>
    <w:rsid w:val="00813802"/>
    <w:rsid w:val="0081510A"/>
    <w:rsid w:val="008177F9"/>
    <w:rsid w:val="008230AF"/>
    <w:rsid w:val="00834C7C"/>
    <w:rsid w:val="00846718"/>
    <w:rsid w:val="0085222B"/>
    <w:rsid w:val="008710EF"/>
    <w:rsid w:val="008E7D69"/>
    <w:rsid w:val="008F0FA5"/>
    <w:rsid w:val="008F3885"/>
    <w:rsid w:val="00900D67"/>
    <w:rsid w:val="00902740"/>
    <w:rsid w:val="009865D8"/>
    <w:rsid w:val="00995BBA"/>
    <w:rsid w:val="009F44E3"/>
    <w:rsid w:val="00A06862"/>
    <w:rsid w:val="00A26990"/>
    <w:rsid w:val="00A43BD8"/>
    <w:rsid w:val="00A61BBB"/>
    <w:rsid w:val="00A722A8"/>
    <w:rsid w:val="00A7478D"/>
    <w:rsid w:val="00A92D1C"/>
    <w:rsid w:val="00AB192F"/>
    <w:rsid w:val="00AF2B51"/>
    <w:rsid w:val="00B01D5A"/>
    <w:rsid w:val="00B1229F"/>
    <w:rsid w:val="00B13409"/>
    <w:rsid w:val="00B81751"/>
    <w:rsid w:val="00BA1E2D"/>
    <w:rsid w:val="00BB2C4D"/>
    <w:rsid w:val="00BD1B45"/>
    <w:rsid w:val="00C568B4"/>
    <w:rsid w:val="00C6186F"/>
    <w:rsid w:val="00C67ECB"/>
    <w:rsid w:val="00C93ED0"/>
    <w:rsid w:val="00CB4A2F"/>
    <w:rsid w:val="00CD440E"/>
    <w:rsid w:val="00D15AAF"/>
    <w:rsid w:val="00D268A5"/>
    <w:rsid w:val="00D33EE7"/>
    <w:rsid w:val="00D66928"/>
    <w:rsid w:val="00D767E2"/>
    <w:rsid w:val="00D8528A"/>
    <w:rsid w:val="00D868B9"/>
    <w:rsid w:val="00DB41E7"/>
    <w:rsid w:val="00E01DD9"/>
    <w:rsid w:val="00E20BA5"/>
    <w:rsid w:val="00E35397"/>
    <w:rsid w:val="00E4076C"/>
    <w:rsid w:val="00E40DC7"/>
    <w:rsid w:val="00E44ECD"/>
    <w:rsid w:val="00E5086E"/>
    <w:rsid w:val="00E50FC8"/>
    <w:rsid w:val="00E70A64"/>
    <w:rsid w:val="00E7243F"/>
    <w:rsid w:val="00F04210"/>
    <w:rsid w:val="00F10495"/>
    <w:rsid w:val="00F2481F"/>
    <w:rsid w:val="00F30B62"/>
    <w:rsid w:val="00F81DC6"/>
    <w:rsid w:val="00F919AE"/>
    <w:rsid w:val="00FE4EF0"/>
    <w:rsid w:val="00FF7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CBC66"/>
  <w15:docId w15:val="{1829C79E-B4DB-4CBC-A285-F6955A0E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8A5"/>
    <w:rPr>
      <w:rFonts w:ascii="Tahoma" w:hAnsi="Tahoma"/>
      <w:szCs w:val="24"/>
      <w:lang w:val="en-US" w:eastAsia="en-US"/>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BalloonText">
    <w:name w:val="Balloon Text"/>
    <w:basedOn w:val="Normal"/>
    <w:link w:val="BalloonTextChar"/>
    <w:rsid w:val="00A26990"/>
    <w:rPr>
      <w:rFonts w:cs="Tahoma"/>
      <w:sz w:val="16"/>
      <w:szCs w:val="16"/>
    </w:rPr>
  </w:style>
  <w:style w:type="character" w:customStyle="1" w:styleId="BalloonTextChar">
    <w:name w:val="Balloon Text Char"/>
    <w:link w:val="BalloonText"/>
    <w:rsid w:val="00A26990"/>
    <w:rPr>
      <w:rFonts w:ascii="Tahoma" w:hAnsi="Tahoma" w:cs="Tahoma"/>
      <w:sz w:val="16"/>
      <w:szCs w:val="16"/>
    </w:rPr>
  </w:style>
  <w:style w:type="paragraph" w:styleId="Header">
    <w:name w:val="header"/>
    <w:basedOn w:val="Normal"/>
    <w:link w:val="HeaderChar"/>
    <w:rsid w:val="001B2CF5"/>
    <w:pPr>
      <w:tabs>
        <w:tab w:val="center" w:pos="4680"/>
        <w:tab w:val="right" w:pos="9360"/>
      </w:tabs>
    </w:pPr>
  </w:style>
  <w:style w:type="character" w:customStyle="1" w:styleId="HeaderChar">
    <w:name w:val="Header Char"/>
    <w:link w:val="Header"/>
    <w:rsid w:val="001B2CF5"/>
    <w:rPr>
      <w:rFonts w:ascii="Tahoma" w:hAnsi="Tahoma"/>
      <w:szCs w:val="24"/>
    </w:rPr>
  </w:style>
  <w:style w:type="paragraph" w:styleId="Footer">
    <w:name w:val="footer"/>
    <w:basedOn w:val="Normal"/>
    <w:link w:val="FooterChar"/>
    <w:uiPriority w:val="99"/>
    <w:rsid w:val="001B2CF5"/>
    <w:pPr>
      <w:tabs>
        <w:tab w:val="center" w:pos="4680"/>
        <w:tab w:val="right" w:pos="9360"/>
      </w:tabs>
    </w:pPr>
  </w:style>
  <w:style w:type="character" w:customStyle="1" w:styleId="FooterChar">
    <w:name w:val="Footer Char"/>
    <w:link w:val="Footer"/>
    <w:uiPriority w:val="99"/>
    <w:rsid w:val="001B2CF5"/>
    <w:rPr>
      <w:rFonts w:ascii="Tahoma" w:hAnsi="Tahoma"/>
      <w:szCs w:val="24"/>
    </w:rPr>
  </w:style>
  <w:style w:type="character" w:customStyle="1" w:styleId="Heading2Char">
    <w:name w:val="Heading 2 Char"/>
    <w:link w:val="Heading2"/>
    <w:uiPriority w:val="9"/>
    <w:rsid w:val="00D33EE7"/>
    <w:rPr>
      <w:rFonts w:ascii="Tahoma" w:hAnsi="Tahoma"/>
      <w:b/>
      <w:sz w:val="22"/>
      <w:szCs w:val="24"/>
    </w:rPr>
  </w:style>
  <w:style w:type="table" w:styleId="TableGrid">
    <w:name w:val="Table Grid"/>
    <w:basedOn w:val="TableNormal"/>
    <w:rsid w:val="00A9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D1C"/>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CB4A2F"/>
    <w:rPr>
      <w:color w:val="0000FF" w:themeColor="hyperlink"/>
      <w:u w:val="single"/>
    </w:rPr>
  </w:style>
  <w:style w:type="character" w:styleId="FollowedHyperlink">
    <w:name w:val="FollowedHyperlink"/>
    <w:basedOn w:val="DefaultParagraphFont"/>
    <w:rsid w:val="002A67AB"/>
    <w:rPr>
      <w:color w:val="800080" w:themeColor="followedHyperlink"/>
      <w:u w:val="single"/>
    </w:rPr>
  </w:style>
  <w:style w:type="paragraph" w:styleId="ListParagraph">
    <w:name w:val="List Paragraph"/>
    <w:basedOn w:val="Normal"/>
    <w:uiPriority w:val="34"/>
    <w:qFormat/>
    <w:rsid w:val="00495C4F"/>
    <w:pPr>
      <w:ind w:left="720"/>
      <w:contextualSpacing/>
    </w:pPr>
  </w:style>
  <w:style w:type="character" w:styleId="CommentReference">
    <w:name w:val="annotation reference"/>
    <w:basedOn w:val="DefaultParagraphFont"/>
    <w:rsid w:val="006946F5"/>
    <w:rPr>
      <w:sz w:val="16"/>
      <w:szCs w:val="16"/>
    </w:rPr>
  </w:style>
  <w:style w:type="paragraph" w:styleId="CommentText">
    <w:name w:val="annotation text"/>
    <w:basedOn w:val="Normal"/>
    <w:link w:val="CommentTextChar"/>
    <w:rsid w:val="006946F5"/>
    <w:rPr>
      <w:szCs w:val="20"/>
    </w:rPr>
  </w:style>
  <w:style w:type="character" w:customStyle="1" w:styleId="CommentTextChar">
    <w:name w:val="Comment Text Char"/>
    <w:basedOn w:val="DefaultParagraphFont"/>
    <w:link w:val="CommentText"/>
    <w:rsid w:val="006946F5"/>
    <w:rPr>
      <w:rFonts w:ascii="Tahoma" w:hAnsi="Tahoma"/>
      <w:lang w:val="en-US" w:eastAsia="en-US"/>
    </w:rPr>
  </w:style>
  <w:style w:type="paragraph" w:styleId="CommentSubject">
    <w:name w:val="annotation subject"/>
    <w:basedOn w:val="CommentText"/>
    <w:next w:val="CommentText"/>
    <w:link w:val="CommentSubjectChar"/>
    <w:rsid w:val="006946F5"/>
    <w:rPr>
      <w:b/>
      <w:bCs/>
    </w:rPr>
  </w:style>
  <w:style w:type="character" w:customStyle="1" w:styleId="CommentSubjectChar">
    <w:name w:val="Comment Subject Char"/>
    <w:basedOn w:val="CommentTextChar"/>
    <w:link w:val="CommentSubject"/>
    <w:rsid w:val="006946F5"/>
    <w:rPr>
      <w:rFonts w:ascii="Tahoma" w:hAnsi="Tahoma"/>
      <w:b/>
      <w:bCs/>
      <w:lang w:val="en-US" w:eastAsia="en-US"/>
    </w:rPr>
  </w:style>
  <w:style w:type="character" w:styleId="PlaceholderText">
    <w:name w:val="Placeholder Text"/>
    <w:basedOn w:val="DefaultParagraphFont"/>
    <w:uiPriority w:val="99"/>
    <w:semiHidden/>
    <w:rsid w:val="00E20BA5"/>
    <w:rPr>
      <w:color w:val="808080"/>
    </w:rPr>
  </w:style>
  <w:style w:type="paragraph" w:customStyle="1" w:styleId="Headline">
    <w:name w:val="Headline"/>
    <w:basedOn w:val="Normal"/>
    <w:qFormat/>
    <w:rsid w:val="003D61A5"/>
    <w:pPr>
      <w:spacing w:line="360" w:lineRule="auto"/>
    </w:pPr>
    <w:rPr>
      <w:rFonts w:ascii="Verdana" w:eastAsiaTheme="minorHAnsi" w:hAnsi="Verdana" w:cstheme="minorBidi"/>
      <w:b/>
      <w:color w:val="57B1C5"/>
      <w:sz w:val="3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7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dm3\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805931F49F004ABCD480EF869A8DE3" ma:contentTypeVersion="19" ma:contentTypeDescription="Create a new document." ma:contentTypeScope="" ma:versionID="3174430cea8bced95b13dca14bb8a4b7">
  <xsd:schema xmlns:xsd="http://www.w3.org/2001/XMLSchema" xmlns:xs="http://www.w3.org/2001/XMLSchema" xmlns:p="http://schemas.microsoft.com/office/2006/metadata/properties" xmlns:ns1="http://schemas.microsoft.com/sharepoint/v3" xmlns:ns2="8f3d36f8-12a3-4677-b7c2-48d2254fdc95" xmlns:ns3="cc47dfff-a346-4bef-8491-75eeab5473d8" xmlns:ns4="http://schemas.microsoft.com/sharepoint/v4" targetNamespace="http://schemas.microsoft.com/office/2006/metadata/properties" ma:root="true" ma:fieldsID="a61f5b466d81a84407f326f60019317d" ns1:_="" ns2:_="" ns3:_="" ns4:_="">
    <xsd:import namespace="http://schemas.microsoft.com/sharepoint/v3"/>
    <xsd:import namespace="8f3d36f8-12a3-4677-b7c2-48d2254fdc95"/>
    <xsd:import namespace="cc47dfff-a346-4bef-8491-75eeab5473d8"/>
    <xsd:import namespace="http://schemas.microsoft.com/sharepoint/v4"/>
    <xsd:element name="properties">
      <xsd:complexType>
        <xsd:sequence>
          <xsd:element name="documentManagement">
            <xsd:complexType>
              <xsd:all>
                <xsd:element ref="ns2:Document_x0020_Type"/>
                <xsd:element ref="ns2:Classification"/>
                <xsd:element ref="ns3:Version_x0020_Date"/>
                <xsd:element ref="ns3:Additional_x0020_Resources" minOccurs="0"/>
                <xsd:element ref="ns1:PublishingStartDate" minOccurs="0"/>
                <xsd:element ref="ns1:PublishingExpirationDate" minOccurs="0"/>
                <xsd:element ref="ns3:Form_x0020_No_x002e_"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 ma:hidden="true" ma:internalName="PublishingStartDate" ma:readOnly="false">
      <xsd:simpleType>
        <xsd:restriction base="dms:Unknown"/>
      </xsd:simpleType>
    </xsd:element>
    <xsd:element name="PublishingExpirationDate" ma:index="7"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d36f8-12a3-4677-b7c2-48d2254fdc95" elementFormDefault="qualified">
    <xsd:import namespace="http://schemas.microsoft.com/office/2006/documentManagement/types"/>
    <xsd:import namespace="http://schemas.microsoft.com/office/infopath/2007/PartnerControls"/>
    <xsd:element name="Document_x0020_Type" ma:index="2" ma:displayName="Document Type" ma:description="Type of document" ma:format="Dropdown" ma:internalName="Document_x0020_Type">
      <xsd:simpleType>
        <xsd:restriction base="dms:Choice">
          <xsd:enumeration value="Agreement"/>
          <xsd:enumeration value="Application"/>
          <xsd:enumeration value="Assessment"/>
          <xsd:enumeration value="Brochure"/>
          <xsd:enumeration value="Checklist"/>
          <xsd:enumeration value="Consent"/>
          <xsd:enumeration value="Controlled Substance Logbook"/>
          <xsd:enumeration value="Flow sheet"/>
          <xsd:enumeration value="Guidelines"/>
          <xsd:enumeration value="Health Authority Pre Printed Orders"/>
          <xsd:enumeration value="Information"/>
          <xsd:enumeration value="Invoice"/>
          <xsd:enumeration value="Kardex"/>
          <xsd:enumeration value="Labels (Stickers)"/>
          <xsd:enumeration value="Letter"/>
          <xsd:enumeration value="Patient Information"/>
          <xsd:enumeration value="Poster"/>
          <xsd:enumeration value="Pre Printed Orders"/>
          <xsd:enumeration value="Prescription Pad"/>
          <xsd:enumeration value="Provincial Form"/>
          <xsd:enumeration value="Questionnaire"/>
          <xsd:enumeration value="Record"/>
          <xsd:enumeration value="Referral"/>
          <xsd:enumeration value="Report"/>
          <xsd:enumeration value="Request"/>
          <xsd:enumeration value="Requisition"/>
          <xsd:enumeration value="Samples"/>
          <xsd:enumeration value="Stationery"/>
          <xsd:enumeration value="Template"/>
        </xsd:restriction>
      </xsd:simpleType>
    </xsd:element>
    <xsd:element name="Classification" ma:index="3" ma:displayName="Department" ma:description="Audience/Owner" ma:format="Dropdown" ma:internalName="Classification" ma:readOnly="false">
      <xsd:simpleType>
        <xsd:restriction base="dms:Choice">
          <xsd:enumeration value="IHA"/>
          <xsd:enumeration value="Acute"/>
          <xsd:enumeration value="Ambulatory Care Unit"/>
          <xsd:enumeration value="Audiology"/>
          <xsd:enumeration value="Biomed"/>
          <xsd:enumeration value="Cardiac Services"/>
          <xsd:enumeration value="Communications"/>
          <xsd:enumeration value="Critical Care"/>
          <xsd:enumeration value="Digital Health"/>
          <xsd:enumeration value="Document Services"/>
          <xsd:enumeration value="Education and Development"/>
          <xsd:enumeration value="Emergency"/>
          <xsd:enumeration value="Financial Services"/>
          <xsd:enumeration value="Food Services"/>
          <xsd:enumeration value="Health Protection"/>
          <xsd:enumeration value="Health Services"/>
          <xsd:enumeration value="Home Health"/>
          <xsd:enumeration value="HP-Environmental"/>
          <xsd:enumeration value="HP-Food Safety"/>
          <xsd:enumeration value="HP-Staff"/>
          <xsd:enumeration value="HP-Healthy Community Care Facilities"/>
          <xsd:enumeration value="HP-Healthy Community Environment"/>
          <xsd:enumeration value="HP-Tobacco"/>
          <xsd:enumeration value="HP-Water Quality"/>
          <xsd:enumeration value="Human Resources"/>
          <xsd:enumeration value="IMIT"/>
          <xsd:enumeration value="Infection Control"/>
          <xsd:enumeration value="Info Privacy and Security"/>
          <xsd:enumeration value="Lab Services"/>
          <xsd:enumeration value="Logistics"/>
          <xsd:enumeration value="Long Term Care"/>
          <xsd:enumeration value="Material Services"/>
          <xsd:enumeration value="Medical"/>
          <xsd:enumeration value="Medical Device Reprocessing"/>
          <xsd:enumeration value="Medical Imaging"/>
          <xsd:enumeration value="Mental Health"/>
          <xsd:enumeration value="Obstetrics"/>
          <xsd:enumeration value="Oncology"/>
          <xsd:enumeration value="Palliative Care"/>
          <xsd:enumeration value="Parking Services"/>
          <xsd:enumeration value="Patient Transport Office (PTO)"/>
          <xsd:enumeration value="Payroll"/>
          <xsd:enumeration value="Pediatric"/>
          <xsd:enumeration value="Pharmacy"/>
          <xsd:enumeration value="Planning and Improvement"/>
          <xsd:enumeration value="Prevention Services"/>
          <xsd:enumeration value="Promotion and Prevention"/>
          <xsd:enumeration value="Public Health - Administration"/>
          <xsd:enumeration value="Physician Support Services"/>
          <xsd:enumeration value="Primary Health Chronic Disease"/>
          <xsd:enumeration value="Professional Practice"/>
          <xsd:enumeration value="Quality and Patient Safety"/>
          <xsd:enumeration value="Quality Improvement"/>
          <xsd:enumeration value="Rehab"/>
          <xsd:enumeration value="Renal"/>
          <xsd:enumeration value="Research"/>
          <xsd:enumeration value="Respiratory"/>
          <xsd:enumeration value="Risk Management"/>
          <xsd:enumeration value="Service Desk"/>
          <xsd:enumeration value="Speech/Pathology"/>
          <xsd:enumeration value="Spiritual Care"/>
          <xsd:enumeration value="Staffing Services"/>
          <xsd:enumeration value="Stroke Network"/>
          <xsd:enumeration value="Surgical"/>
          <xsd:enumeration value="Tobacco Reduction"/>
          <xsd:enumeration value="Transfusion Services"/>
          <xsd:enumeration value="User Access Services"/>
          <xsd:enumeration value="Violence Prevention"/>
          <xsd:enumeration value="Volunteer Services"/>
          <xsd:enumeration value="Workplace Health and Safety"/>
          <xsd:enumeration value="Wound and Ostomy"/>
        </xsd:restriction>
      </xsd:simpleType>
    </xsd:element>
  </xsd:schema>
  <xsd:schema xmlns:xsd="http://www.w3.org/2001/XMLSchema" xmlns:xs="http://www.w3.org/2001/XMLSchema" xmlns:dms="http://schemas.microsoft.com/office/2006/documentManagement/types" xmlns:pc="http://schemas.microsoft.com/office/infopath/2007/PartnerControls" targetNamespace="cc47dfff-a346-4bef-8491-75eeab5473d8" elementFormDefault="qualified">
    <xsd:import namespace="http://schemas.microsoft.com/office/2006/documentManagement/types"/>
    <xsd:import namespace="http://schemas.microsoft.com/office/infopath/2007/PartnerControls"/>
    <xsd:element name="Version_x0020_Date" ma:index="4" ma:displayName="Version Date" ma:description="Date of Version" ma:format="DateOnly" ma:internalName="Version_x0020_Date" ma:readOnly="false">
      <xsd:simpleType>
        <xsd:restriction base="dms:DateTime"/>
      </xsd:simpleType>
    </xsd:element>
    <xsd:element name="Additional_x0020_Resources" ma:index="5" nillable="true" ma:displayName="Related Info" ma:format="Hyperlink" ma:internalName="Additional_x0020_Resource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Form_x0020_No_x002e_" ma:index="14" nillable="true" ma:displayName="Form No." ma:description="Official form number" ma:internalName="Form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 xmlns="8f3d36f8-12a3-4677-b7c2-48d2254fdc95">Communications</Classification>
    <Document_x0020_Type xmlns="8f3d36f8-12a3-4677-b7c2-48d2254fdc95">Template</Document_x0020_Type>
    <Form_x0020_No_x002e_ xmlns="cc47dfff-a346-4bef-8491-75eeab5473d8" xsi:nil="true"/>
    <PublishingExpirationDate xmlns="http://schemas.microsoft.com/sharepoint/v3" xsi:nil="true"/>
    <PublishingStartDate xmlns="http://schemas.microsoft.com/sharepoint/v3" xsi:nil="true"/>
    <Additional_x0020_Resources xmlns="cc47dfff-a346-4bef-8491-75eeab5473d8">
      <Url xsi:nil="true"/>
      <Description xsi:nil="true"/>
    </Additional_x0020_Resources>
    <Version_x0020_Date xmlns="cc47dfff-a346-4bef-8491-75eeab5473d8">2021-12-16T08:00:00+00:00</Version_x0020_Dat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B0DDEE4-E3CC-4E70-BB55-4B01BD96C047}">
  <ds:schemaRefs>
    <ds:schemaRef ds:uri="http://schemas.microsoft.com/sharepoint/v3/contenttype/forms"/>
  </ds:schemaRefs>
</ds:datastoreItem>
</file>

<file path=customXml/itemProps2.xml><?xml version="1.0" encoding="utf-8"?>
<ds:datastoreItem xmlns:ds="http://schemas.openxmlformats.org/officeDocument/2006/customXml" ds:itemID="{143BDC98-5DC4-4817-B70E-B852D4A57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3d36f8-12a3-4677-b7c2-48d2254fdc95"/>
    <ds:schemaRef ds:uri="cc47dfff-a346-4bef-8491-75eeab5473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689F1-AB60-4B39-9DF8-2F9BB41F2AA1}">
  <ds:schemaRefs>
    <ds:schemaRef ds:uri="http://schemas.microsoft.com/office/2006/metadata/properties"/>
    <ds:schemaRef ds:uri="http://schemas.microsoft.com/office/infopath/2007/PartnerControls"/>
    <ds:schemaRef ds:uri="8f3d36f8-12a3-4677-b7c2-48d2254fdc95"/>
    <ds:schemaRef ds:uri="cc47dfff-a346-4bef-8491-75eeab5473d8"/>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19728DDC-04A9-46DD-AB37-6F722DEAAF47}">
  <ds:schemaRefs>
    <ds:schemaRef ds:uri="http://schemas.openxmlformats.org/officeDocument/2006/bibliography"/>
  </ds:schemaRefs>
</ds:datastoreItem>
</file>

<file path=customXml/itemProps5.xml><?xml version="1.0" encoding="utf-8"?>
<ds:datastoreItem xmlns:ds="http://schemas.openxmlformats.org/officeDocument/2006/customXml" ds:itemID="{4A73B512-1568-4FF5-9618-1C33CC13B3D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Agenda.dot</Template>
  <TotalTime>0</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IH Terms of Reference Template</vt:lpstr>
    </vt:vector>
  </TitlesOfParts>
  <Company>Microsoft Corporation</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 Terms of Reference Template</dc:title>
  <dc:creator>ledm3</dc:creator>
  <cp:lastModifiedBy>Irina Apostu</cp:lastModifiedBy>
  <cp:revision>2</cp:revision>
  <cp:lastPrinted>2014-09-04T21:56:00Z</cp:lastPrinted>
  <dcterms:created xsi:type="dcterms:W3CDTF">2022-10-14T20:44:00Z</dcterms:created>
  <dcterms:modified xsi:type="dcterms:W3CDTF">2022-10-14T20:44:00Z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0x01010077805931F49F004ABCD480EF869A8DE3</vt:lpwstr>
  </property>
</Properties>
</file>